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C16" w:rsidRDefault="00EE6C16" w:rsidP="00EE6C16">
      <w:pPr>
        <w:pStyle w:val="Title"/>
        <w:rPr>
          <w:noProof/>
          <w:lang w:eastAsia="en-AU"/>
        </w:rPr>
      </w:pPr>
    </w:p>
    <w:p w:rsidR="000B45EE" w:rsidRDefault="00EE6C16" w:rsidP="00EE6C16">
      <w:pPr>
        <w:pStyle w:val="Title"/>
      </w:pPr>
      <w:r>
        <w:rPr>
          <w:noProof/>
          <w:lang w:eastAsia="en-AU"/>
        </w:rPr>
        <w:drawing>
          <wp:anchor distT="0" distB="0" distL="114300" distR="114300" simplePos="0" relativeHeight="251660288" behindDoc="1" locked="0" layoutInCell="1" allowOverlap="1" wp14:anchorId="37047D5D" wp14:editId="424A2CA1">
            <wp:simplePos x="0" y="0"/>
            <wp:positionH relativeFrom="margin">
              <wp:posOffset>-771525</wp:posOffset>
            </wp:positionH>
            <wp:positionV relativeFrom="page">
              <wp:posOffset>3114675</wp:posOffset>
            </wp:positionV>
            <wp:extent cx="7271385" cy="7369680"/>
            <wp:effectExtent l="0" t="0" r="5715" b="3175"/>
            <wp:wrapNone/>
            <wp:docPr id="20" name="Picture 20" descr="Background graphic - decorative element only" title="Background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master_nologo.jpg"/>
                    <pic:cNvPicPr/>
                  </pic:nvPicPr>
                  <pic:blipFill rotWithShape="1">
                    <a:blip r:embed="rId8" cstate="print">
                      <a:extLst>
                        <a:ext uri="{28A0092B-C50C-407E-A947-70E740481C1C}">
                          <a14:useLocalDpi xmlns:a14="http://schemas.microsoft.com/office/drawing/2010/main" val="0"/>
                        </a:ext>
                      </a:extLst>
                    </a:blip>
                    <a:srcRect t="28341"/>
                    <a:stretch/>
                  </pic:blipFill>
                  <pic:spPr bwMode="auto">
                    <a:xfrm>
                      <a:off x="0" y="0"/>
                      <a:ext cx="7272000" cy="737030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56DDC" w:rsidRPr="00F56DDC">
        <w:t xml:space="preserve">Commercialising Business Ideas – </w:t>
      </w:r>
      <w:r w:rsidR="00F56DDC">
        <w:t>Discussion paper</w:t>
      </w:r>
    </w:p>
    <w:p w:rsidR="00F56DDC" w:rsidRDefault="00F56DDC" w:rsidP="00F56DDC">
      <w:pPr>
        <w:pStyle w:val="Subtitle"/>
      </w:pPr>
      <w:r>
        <w:t>Intellectual Property Policy Team, Commercialisation Policy Branch</w:t>
      </w:r>
    </w:p>
    <w:p w:rsidR="00F56DDC" w:rsidRDefault="00AA368E" w:rsidP="00F56DDC">
      <w:pPr>
        <w:pStyle w:val="Subtitle"/>
      </w:pPr>
      <w:r>
        <w:t>April</w:t>
      </w:r>
      <w:r w:rsidR="00F56DDC">
        <w:t xml:space="preserve"> 2019</w:t>
      </w:r>
    </w:p>
    <w:p w:rsidR="00EE6C16" w:rsidRDefault="00EE6C16">
      <w:pPr>
        <w:spacing w:before="0" w:after="160" w:line="259" w:lineRule="auto"/>
        <w:rPr>
          <w:rFonts w:eastAsiaTheme="majorEastAsia" w:cstheme="majorBidi"/>
          <w:color w:val="00283E"/>
          <w:sz w:val="52"/>
          <w:szCs w:val="32"/>
        </w:rPr>
      </w:pPr>
      <w:r>
        <w:br w:type="page"/>
      </w:r>
    </w:p>
    <w:p w:rsidR="00537093" w:rsidRDefault="00537093" w:rsidP="00255312">
      <w:pPr>
        <w:pStyle w:val="Heading2"/>
      </w:pPr>
      <w:bookmarkStart w:id="0" w:name="_Toc7163826"/>
      <w:r>
        <w:lastRenderedPageBreak/>
        <w:t>Contents</w:t>
      </w:r>
      <w:bookmarkEnd w:id="0"/>
    </w:p>
    <w:p w:rsidR="00255312" w:rsidRDefault="00255312">
      <w:pPr>
        <w:pStyle w:val="TOC1"/>
        <w:tabs>
          <w:tab w:val="right" w:leader="dot" w:pos="9016"/>
        </w:tabs>
        <w:rPr>
          <w:rFonts w:asciiTheme="minorHAnsi" w:eastAsiaTheme="minorEastAsia" w:hAnsiTheme="minorHAnsi"/>
          <w:noProof/>
          <w:lang w:eastAsia="en-AU"/>
        </w:rPr>
      </w:pPr>
      <w:r>
        <w:fldChar w:fldCharType="begin"/>
      </w:r>
      <w:r>
        <w:instrText xml:space="preserve"> TOC \o "1-2" \h \z \u </w:instrText>
      </w:r>
      <w:r>
        <w:fldChar w:fldCharType="separate"/>
      </w:r>
    </w:p>
    <w:p w:rsidR="00255312" w:rsidRDefault="00255312">
      <w:pPr>
        <w:pStyle w:val="TOC2"/>
        <w:tabs>
          <w:tab w:val="right" w:leader="dot" w:pos="9016"/>
        </w:tabs>
        <w:rPr>
          <w:rFonts w:asciiTheme="minorHAnsi" w:eastAsiaTheme="minorEastAsia" w:hAnsiTheme="minorHAnsi"/>
          <w:noProof/>
          <w:lang w:eastAsia="en-AU"/>
        </w:rPr>
      </w:pPr>
      <w:hyperlink w:anchor="_Toc7163827" w:history="1">
        <w:r w:rsidRPr="002B1193">
          <w:rPr>
            <w:rStyle w:val="Hyperlink"/>
            <w:noProof/>
          </w:rPr>
          <w:t>Purpose</w:t>
        </w:r>
        <w:r>
          <w:rPr>
            <w:noProof/>
            <w:webHidden/>
          </w:rPr>
          <w:tab/>
        </w:r>
        <w:r>
          <w:rPr>
            <w:noProof/>
            <w:webHidden/>
          </w:rPr>
          <w:fldChar w:fldCharType="begin"/>
        </w:r>
        <w:r>
          <w:rPr>
            <w:noProof/>
            <w:webHidden/>
          </w:rPr>
          <w:instrText xml:space="preserve"> PAGEREF _Toc7163827 \h </w:instrText>
        </w:r>
        <w:r>
          <w:rPr>
            <w:noProof/>
            <w:webHidden/>
          </w:rPr>
        </w:r>
        <w:r>
          <w:rPr>
            <w:noProof/>
            <w:webHidden/>
          </w:rPr>
          <w:fldChar w:fldCharType="separate"/>
        </w:r>
        <w:r w:rsidR="00102550">
          <w:rPr>
            <w:noProof/>
            <w:webHidden/>
          </w:rPr>
          <w:t>3</w:t>
        </w:r>
        <w:r>
          <w:rPr>
            <w:noProof/>
            <w:webHidden/>
          </w:rPr>
          <w:fldChar w:fldCharType="end"/>
        </w:r>
      </w:hyperlink>
    </w:p>
    <w:p w:rsidR="00255312" w:rsidRDefault="00255312">
      <w:pPr>
        <w:pStyle w:val="TOC2"/>
        <w:tabs>
          <w:tab w:val="right" w:leader="dot" w:pos="9016"/>
        </w:tabs>
        <w:rPr>
          <w:rFonts w:asciiTheme="minorHAnsi" w:eastAsiaTheme="minorEastAsia" w:hAnsiTheme="minorHAnsi"/>
          <w:noProof/>
          <w:lang w:eastAsia="en-AU"/>
        </w:rPr>
      </w:pPr>
      <w:hyperlink w:anchor="_Toc7163828" w:history="1">
        <w:r w:rsidRPr="002B1193">
          <w:rPr>
            <w:rStyle w:val="Hyperlink"/>
            <w:noProof/>
          </w:rPr>
          <w:t>Strategic Direction</w:t>
        </w:r>
        <w:r>
          <w:rPr>
            <w:noProof/>
            <w:webHidden/>
          </w:rPr>
          <w:tab/>
        </w:r>
        <w:r>
          <w:rPr>
            <w:noProof/>
            <w:webHidden/>
          </w:rPr>
          <w:fldChar w:fldCharType="begin"/>
        </w:r>
        <w:r>
          <w:rPr>
            <w:noProof/>
            <w:webHidden/>
          </w:rPr>
          <w:instrText xml:space="preserve"> PAGEREF _Toc7163828 \h </w:instrText>
        </w:r>
        <w:r>
          <w:rPr>
            <w:noProof/>
            <w:webHidden/>
          </w:rPr>
        </w:r>
        <w:r>
          <w:rPr>
            <w:noProof/>
            <w:webHidden/>
          </w:rPr>
          <w:fldChar w:fldCharType="separate"/>
        </w:r>
        <w:r w:rsidR="00102550">
          <w:rPr>
            <w:noProof/>
            <w:webHidden/>
          </w:rPr>
          <w:t>3</w:t>
        </w:r>
        <w:r>
          <w:rPr>
            <w:noProof/>
            <w:webHidden/>
          </w:rPr>
          <w:fldChar w:fldCharType="end"/>
        </w:r>
      </w:hyperlink>
    </w:p>
    <w:p w:rsidR="00255312" w:rsidRDefault="00255312">
      <w:pPr>
        <w:pStyle w:val="TOC2"/>
        <w:tabs>
          <w:tab w:val="right" w:leader="dot" w:pos="9016"/>
        </w:tabs>
        <w:rPr>
          <w:rFonts w:asciiTheme="minorHAnsi" w:eastAsiaTheme="minorEastAsia" w:hAnsiTheme="minorHAnsi"/>
          <w:noProof/>
          <w:lang w:eastAsia="en-AU"/>
        </w:rPr>
      </w:pPr>
      <w:hyperlink w:anchor="_Toc7163829" w:history="1">
        <w:r w:rsidRPr="002B1193">
          <w:rPr>
            <w:rStyle w:val="Hyperlink"/>
            <w:noProof/>
          </w:rPr>
          <w:t>Evidence</w:t>
        </w:r>
        <w:r>
          <w:rPr>
            <w:noProof/>
            <w:webHidden/>
          </w:rPr>
          <w:tab/>
        </w:r>
        <w:r>
          <w:rPr>
            <w:noProof/>
            <w:webHidden/>
          </w:rPr>
          <w:fldChar w:fldCharType="begin"/>
        </w:r>
        <w:r>
          <w:rPr>
            <w:noProof/>
            <w:webHidden/>
          </w:rPr>
          <w:instrText xml:space="preserve"> PAGEREF _Toc7163829 \h </w:instrText>
        </w:r>
        <w:r>
          <w:rPr>
            <w:noProof/>
            <w:webHidden/>
          </w:rPr>
        </w:r>
        <w:r>
          <w:rPr>
            <w:noProof/>
            <w:webHidden/>
          </w:rPr>
          <w:fldChar w:fldCharType="separate"/>
        </w:r>
        <w:r w:rsidR="00102550">
          <w:rPr>
            <w:noProof/>
            <w:webHidden/>
          </w:rPr>
          <w:t>3</w:t>
        </w:r>
        <w:r>
          <w:rPr>
            <w:noProof/>
            <w:webHidden/>
          </w:rPr>
          <w:fldChar w:fldCharType="end"/>
        </w:r>
      </w:hyperlink>
    </w:p>
    <w:p w:rsidR="00255312" w:rsidRDefault="00255312">
      <w:pPr>
        <w:pStyle w:val="TOC2"/>
        <w:tabs>
          <w:tab w:val="right" w:leader="dot" w:pos="9016"/>
        </w:tabs>
        <w:rPr>
          <w:rFonts w:asciiTheme="minorHAnsi" w:eastAsiaTheme="minorEastAsia" w:hAnsiTheme="minorHAnsi"/>
          <w:noProof/>
          <w:lang w:eastAsia="en-AU"/>
        </w:rPr>
      </w:pPr>
      <w:hyperlink w:anchor="_Toc7163830" w:history="1">
        <w:r w:rsidRPr="002B1193">
          <w:rPr>
            <w:rStyle w:val="Hyperlink"/>
            <w:noProof/>
          </w:rPr>
          <w:t>Context</w:t>
        </w:r>
        <w:r>
          <w:rPr>
            <w:noProof/>
            <w:webHidden/>
          </w:rPr>
          <w:tab/>
        </w:r>
        <w:r>
          <w:rPr>
            <w:noProof/>
            <w:webHidden/>
          </w:rPr>
          <w:fldChar w:fldCharType="begin"/>
        </w:r>
        <w:r>
          <w:rPr>
            <w:noProof/>
            <w:webHidden/>
          </w:rPr>
          <w:instrText xml:space="preserve"> PAGEREF _Toc7163830 \h </w:instrText>
        </w:r>
        <w:r>
          <w:rPr>
            <w:noProof/>
            <w:webHidden/>
          </w:rPr>
        </w:r>
        <w:r>
          <w:rPr>
            <w:noProof/>
            <w:webHidden/>
          </w:rPr>
          <w:fldChar w:fldCharType="separate"/>
        </w:r>
        <w:r w:rsidR="00102550">
          <w:rPr>
            <w:noProof/>
            <w:webHidden/>
          </w:rPr>
          <w:t>3</w:t>
        </w:r>
        <w:r>
          <w:rPr>
            <w:noProof/>
            <w:webHidden/>
          </w:rPr>
          <w:fldChar w:fldCharType="end"/>
        </w:r>
      </w:hyperlink>
    </w:p>
    <w:p w:rsidR="00255312" w:rsidRDefault="00255312">
      <w:pPr>
        <w:pStyle w:val="TOC2"/>
        <w:tabs>
          <w:tab w:val="right" w:leader="dot" w:pos="9016"/>
        </w:tabs>
        <w:rPr>
          <w:rFonts w:asciiTheme="minorHAnsi" w:eastAsiaTheme="minorEastAsia" w:hAnsiTheme="minorHAnsi"/>
          <w:noProof/>
          <w:lang w:eastAsia="en-AU"/>
        </w:rPr>
      </w:pPr>
      <w:hyperlink w:anchor="_Toc7163831" w:history="1">
        <w:r w:rsidRPr="002B1193">
          <w:rPr>
            <w:rStyle w:val="Hyperlink"/>
            <w:noProof/>
          </w:rPr>
          <w:t>Consultations with innovative SMEs</w:t>
        </w:r>
        <w:r>
          <w:rPr>
            <w:noProof/>
            <w:webHidden/>
          </w:rPr>
          <w:tab/>
        </w:r>
        <w:r>
          <w:rPr>
            <w:noProof/>
            <w:webHidden/>
          </w:rPr>
          <w:fldChar w:fldCharType="begin"/>
        </w:r>
        <w:r>
          <w:rPr>
            <w:noProof/>
            <w:webHidden/>
          </w:rPr>
          <w:instrText xml:space="preserve"> PAGEREF _Toc7163831 \h </w:instrText>
        </w:r>
        <w:r>
          <w:rPr>
            <w:noProof/>
            <w:webHidden/>
          </w:rPr>
        </w:r>
        <w:r>
          <w:rPr>
            <w:noProof/>
            <w:webHidden/>
          </w:rPr>
          <w:fldChar w:fldCharType="separate"/>
        </w:r>
        <w:r w:rsidR="00102550">
          <w:rPr>
            <w:noProof/>
            <w:webHidden/>
          </w:rPr>
          <w:t>4</w:t>
        </w:r>
        <w:r>
          <w:rPr>
            <w:noProof/>
            <w:webHidden/>
          </w:rPr>
          <w:fldChar w:fldCharType="end"/>
        </w:r>
      </w:hyperlink>
    </w:p>
    <w:p w:rsidR="00255312" w:rsidRDefault="00255312">
      <w:pPr>
        <w:pStyle w:val="TOC2"/>
        <w:tabs>
          <w:tab w:val="right" w:leader="dot" w:pos="9016"/>
        </w:tabs>
        <w:rPr>
          <w:rFonts w:asciiTheme="minorHAnsi" w:eastAsiaTheme="minorEastAsia" w:hAnsiTheme="minorHAnsi"/>
          <w:noProof/>
          <w:lang w:eastAsia="en-AU"/>
        </w:rPr>
      </w:pPr>
      <w:hyperlink w:anchor="_Toc7163832" w:history="1">
        <w:r w:rsidRPr="002B1193">
          <w:rPr>
            <w:rStyle w:val="Hyperlink"/>
            <w:noProof/>
          </w:rPr>
          <w:t>Opportunities for further action</w:t>
        </w:r>
        <w:r>
          <w:rPr>
            <w:noProof/>
            <w:webHidden/>
          </w:rPr>
          <w:tab/>
        </w:r>
        <w:r>
          <w:rPr>
            <w:noProof/>
            <w:webHidden/>
          </w:rPr>
          <w:fldChar w:fldCharType="begin"/>
        </w:r>
        <w:r>
          <w:rPr>
            <w:noProof/>
            <w:webHidden/>
          </w:rPr>
          <w:instrText xml:space="preserve"> PAGEREF _Toc7163832 \h </w:instrText>
        </w:r>
        <w:r>
          <w:rPr>
            <w:noProof/>
            <w:webHidden/>
          </w:rPr>
        </w:r>
        <w:r>
          <w:rPr>
            <w:noProof/>
            <w:webHidden/>
          </w:rPr>
          <w:fldChar w:fldCharType="separate"/>
        </w:r>
        <w:r w:rsidR="00102550">
          <w:rPr>
            <w:noProof/>
            <w:webHidden/>
          </w:rPr>
          <w:t>4</w:t>
        </w:r>
        <w:r>
          <w:rPr>
            <w:noProof/>
            <w:webHidden/>
          </w:rPr>
          <w:fldChar w:fldCharType="end"/>
        </w:r>
      </w:hyperlink>
    </w:p>
    <w:p w:rsidR="00255312" w:rsidRDefault="00255312">
      <w:pPr>
        <w:pStyle w:val="TOC2"/>
        <w:tabs>
          <w:tab w:val="right" w:leader="dot" w:pos="9016"/>
        </w:tabs>
        <w:rPr>
          <w:rFonts w:asciiTheme="minorHAnsi" w:eastAsiaTheme="minorEastAsia" w:hAnsiTheme="minorHAnsi"/>
          <w:noProof/>
          <w:lang w:eastAsia="en-AU"/>
        </w:rPr>
      </w:pPr>
      <w:hyperlink w:anchor="_Toc7163833" w:history="1">
        <w:r w:rsidRPr="002B1193">
          <w:rPr>
            <w:rStyle w:val="Hyperlink"/>
            <w:noProof/>
          </w:rPr>
          <w:t>Discussion Questions</w:t>
        </w:r>
        <w:r>
          <w:rPr>
            <w:noProof/>
            <w:webHidden/>
          </w:rPr>
          <w:tab/>
        </w:r>
        <w:r>
          <w:rPr>
            <w:noProof/>
            <w:webHidden/>
          </w:rPr>
          <w:fldChar w:fldCharType="begin"/>
        </w:r>
        <w:r>
          <w:rPr>
            <w:noProof/>
            <w:webHidden/>
          </w:rPr>
          <w:instrText xml:space="preserve"> PAGEREF _Toc7163833 \h </w:instrText>
        </w:r>
        <w:r>
          <w:rPr>
            <w:noProof/>
            <w:webHidden/>
          </w:rPr>
        </w:r>
        <w:r>
          <w:rPr>
            <w:noProof/>
            <w:webHidden/>
          </w:rPr>
          <w:fldChar w:fldCharType="separate"/>
        </w:r>
        <w:r w:rsidR="00102550">
          <w:rPr>
            <w:noProof/>
            <w:webHidden/>
          </w:rPr>
          <w:t>7</w:t>
        </w:r>
        <w:r>
          <w:rPr>
            <w:noProof/>
            <w:webHidden/>
          </w:rPr>
          <w:fldChar w:fldCharType="end"/>
        </w:r>
      </w:hyperlink>
    </w:p>
    <w:p w:rsidR="00EE6C16" w:rsidRDefault="00255312">
      <w:pPr>
        <w:spacing w:before="0" w:after="160" w:line="259" w:lineRule="auto"/>
        <w:rPr>
          <w:rFonts w:eastAsiaTheme="majorEastAsia" w:cstheme="majorBidi"/>
          <w:color w:val="00283E"/>
          <w:sz w:val="52"/>
          <w:szCs w:val="32"/>
        </w:rPr>
      </w:pPr>
      <w:r>
        <w:fldChar w:fldCharType="end"/>
      </w:r>
      <w:r w:rsidR="00EE6C16">
        <w:br w:type="page"/>
      </w:r>
    </w:p>
    <w:p w:rsidR="00AA368E" w:rsidRDefault="00AA368E" w:rsidP="00AA368E">
      <w:pPr>
        <w:pStyle w:val="Heading2"/>
      </w:pPr>
      <w:bookmarkStart w:id="1" w:name="_Toc2663648"/>
      <w:bookmarkStart w:id="2" w:name="_Toc7163827"/>
      <w:r>
        <w:lastRenderedPageBreak/>
        <w:t>Purpose</w:t>
      </w:r>
      <w:bookmarkEnd w:id="2"/>
    </w:p>
    <w:p w:rsidR="00AA368E" w:rsidRDefault="00AA368E" w:rsidP="00AA368E">
      <w:r>
        <w:t>This discussion paper is intended to provide interested stakeholders with an opportunity to:</w:t>
      </w:r>
    </w:p>
    <w:p w:rsidR="00AA368E" w:rsidRDefault="00AA368E" w:rsidP="00AA368E">
      <w:pPr>
        <w:pStyle w:val="ListParagraph"/>
        <w:numPr>
          <w:ilvl w:val="0"/>
          <w:numId w:val="19"/>
        </w:numPr>
        <w:spacing w:before="0" w:after="160" w:line="259" w:lineRule="auto"/>
      </w:pPr>
      <w:r>
        <w:t xml:space="preserve">comment on the findings of the department’s recent consultations on the challenges businesses face when commercialising their business ideas; and </w:t>
      </w:r>
    </w:p>
    <w:p w:rsidR="00AA368E" w:rsidRPr="006A321D" w:rsidRDefault="00AA368E" w:rsidP="00AA368E">
      <w:pPr>
        <w:pStyle w:val="ListParagraph"/>
        <w:numPr>
          <w:ilvl w:val="0"/>
          <w:numId w:val="19"/>
        </w:numPr>
        <w:spacing w:before="0" w:after="160" w:line="259" w:lineRule="auto"/>
      </w:pPr>
      <w:r>
        <w:t>continue to be involved in the policy development process.</w:t>
      </w:r>
    </w:p>
    <w:p w:rsidR="00AA368E" w:rsidRDefault="00AA368E" w:rsidP="00AA368E">
      <w:pPr>
        <w:pStyle w:val="Heading2"/>
      </w:pPr>
      <w:bookmarkStart w:id="3" w:name="_Toc7163828"/>
      <w:r>
        <w:t>Strategic Direction</w:t>
      </w:r>
      <w:bookmarkEnd w:id="3"/>
      <w:r>
        <w:t xml:space="preserve"> </w:t>
      </w:r>
    </w:p>
    <w:p w:rsidR="00AA368E" w:rsidRDefault="00AA368E" w:rsidP="00AA368E">
      <w:r>
        <w:t xml:space="preserve">The 2018-19 Portfolio Budget Statement states the role of the </w:t>
      </w:r>
      <w:r w:rsidRPr="00C9760B">
        <w:t xml:space="preserve">Department of Industry, Innovation and Science </w:t>
      </w:r>
      <w:r>
        <w:t xml:space="preserve">(the department) is to </w:t>
      </w:r>
      <w:r w:rsidRPr="00C9760B">
        <w:t xml:space="preserve">drive growth and job creation </w:t>
      </w:r>
      <w:r>
        <w:t>for a more prosperous Australia</w:t>
      </w:r>
      <w:r w:rsidRPr="00C9760B">
        <w:t xml:space="preserve"> by facilitating economic transformation and boosting business competitiveness.</w:t>
      </w:r>
      <w:r>
        <w:rPr>
          <w:rStyle w:val="FootnoteReference"/>
        </w:rPr>
        <w:footnoteReference w:id="1"/>
      </w:r>
    </w:p>
    <w:p w:rsidR="00AA368E" w:rsidRDefault="00AA368E" w:rsidP="00AA368E">
      <w:pPr>
        <w:pStyle w:val="Heading2"/>
      </w:pPr>
      <w:bookmarkStart w:id="4" w:name="_Toc7163829"/>
      <w:r>
        <w:t>Evidence</w:t>
      </w:r>
      <w:bookmarkEnd w:id="4"/>
    </w:p>
    <w:p w:rsidR="00AA368E" w:rsidRPr="00C44403" w:rsidRDefault="00AA368E" w:rsidP="00AA368E">
      <w:r>
        <w:t xml:space="preserve">In order </w:t>
      </w:r>
      <w:r w:rsidRPr="00C44403">
        <w:t>to maintain economic growth and living standards</w:t>
      </w:r>
      <w:r>
        <w:t xml:space="preserve"> in </w:t>
      </w:r>
      <w:r w:rsidRPr="00C44403">
        <w:t>Australia</w:t>
      </w:r>
      <w:r>
        <w:t>, we must grow and diversify our national income</w:t>
      </w:r>
      <w:r w:rsidRPr="00C44403">
        <w:t xml:space="preserve">. To do this, </w:t>
      </w:r>
      <w:r>
        <w:t>we must</w:t>
      </w:r>
      <w:r w:rsidRPr="00C44403">
        <w:t xml:space="preserve"> bring</w:t>
      </w:r>
      <w:r>
        <w:t xml:space="preserve"> to the world</w:t>
      </w:r>
      <w:r w:rsidRPr="00C44403">
        <w:t xml:space="preserve"> more new-to-market products, process</w:t>
      </w:r>
      <w:r>
        <w:t>es</w:t>
      </w:r>
      <w:r w:rsidRPr="00C44403">
        <w:t xml:space="preserve"> and services </w:t>
      </w:r>
      <w:r>
        <w:t xml:space="preserve">i.e. </w:t>
      </w:r>
      <w:r w:rsidRPr="002B71AF">
        <w:t>innovation</w:t>
      </w:r>
      <w:r w:rsidRPr="00C44403">
        <w:t>.</w:t>
      </w:r>
      <w:r>
        <w:rPr>
          <w:rStyle w:val="FootnoteReference"/>
        </w:rPr>
        <w:footnoteReference w:id="2"/>
      </w:r>
      <w:r>
        <w:t xml:space="preserve"> </w:t>
      </w:r>
    </w:p>
    <w:p w:rsidR="00AA368E" w:rsidRDefault="00AA368E" w:rsidP="00AA368E">
      <w:r>
        <w:t>Australia has positive conditions for entrepreneurship, but</w:t>
      </w:r>
      <w:r w:rsidRPr="00E4403B">
        <w:t xml:space="preserve"> difficulties with </w:t>
      </w:r>
      <w:r>
        <w:t>commercialisation and scaling businesses. For example, while the proportion of innovation active Australian businesses is high, the proportion of innovation active businesses that engage in repeat innovation or new-to-market innovation is low.</w:t>
      </w:r>
      <w:r>
        <w:rPr>
          <w:rStyle w:val="FootnoteReference"/>
        </w:rPr>
        <w:footnoteReference w:id="3"/>
      </w:r>
      <w:r>
        <w:t xml:space="preserve"> </w:t>
      </w:r>
    </w:p>
    <w:p w:rsidR="00AA368E" w:rsidRDefault="00AA368E" w:rsidP="00AA368E">
      <w:r>
        <w:t>This is a critical point, as business innovation improves business performance and the more novel and more frequent the innovation, the greater the impact on business performance.</w:t>
      </w:r>
      <w:r>
        <w:rPr>
          <w:rStyle w:val="FootnoteReference"/>
        </w:rPr>
        <w:footnoteReference w:id="4"/>
      </w:r>
    </w:p>
    <w:p w:rsidR="00AA368E" w:rsidRDefault="00AA368E" w:rsidP="00AA368E">
      <w:r>
        <w:t>As commercialisation is the process of turning new-to-market innovations into income generating products and services, it is an important lever to drive economic growth.</w:t>
      </w:r>
    </w:p>
    <w:p w:rsidR="00AA368E" w:rsidRDefault="00AA368E" w:rsidP="00AA368E">
      <w:pPr>
        <w:pStyle w:val="Heading2"/>
        <w:tabs>
          <w:tab w:val="left" w:pos="2962"/>
        </w:tabs>
      </w:pPr>
      <w:bookmarkStart w:id="5" w:name="_Toc7163830"/>
      <w:r>
        <w:t>Context</w:t>
      </w:r>
      <w:bookmarkEnd w:id="5"/>
    </w:p>
    <w:p w:rsidR="00AA368E" w:rsidRDefault="00AA368E" w:rsidP="00AA368E">
      <w:r>
        <w:t xml:space="preserve">The department and other government agencies target specific stages of the commercialisation process through a range of programs that seek to build business </w:t>
      </w:r>
      <w:r>
        <w:lastRenderedPageBreak/>
        <w:t>capability and offset some of the costs and risks associated with R&amp;D and other innovation activities. These include the Entrepreneurs’ Programme (which includes the Accelerating Commercialisation element), the Research and Development Tax Incentive, CSIRO’s On Accelerator, the Biomedical Translation Fund, and tax incentives for early stage investors.</w:t>
      </w:r>
    </w:p>
    <w:p w:rsidR="00AA368E" w:rsidRPr="00E24F8B" w:rsidRDefault="00AA368E" w:rsidP="00AA368E">
      <w:pPr>
        <w:pStyle w:val="Heading2"/>
      </w:pPr>
      <w:bookmarkStart w:id="6" w:name="_Toc7163831"/>
      <w:r>
        <w:t>Consultations with innovative SMEs</w:t>
      </w:r>
      <w:bookmarkEnd w:id="6"/>
    </w:p>
    <w:p w:rsidR="00AA368E" w:rsidRPr="00A70075" w:rsidRDefault="00AA368E" w:rsidP="00AA368E">
      <w:pPr>
        <w:jc w:val="both"/>
      </w:pPr>
      <w:r w:rsidRPr="00A70075">
        <w:t xml:space="preserve">The </w:t>
      </w:r>
      <w:r>
        <w:t xml:space="preserve">department recently </w:t>
      </w:r>
      <w:r w:rsidRPr="00A70075">
        <w:t xml:space="preserve">conducted a stakeholder consultation process </w:t>
      </w:r>
      <w:r>
        <w:t>in order to</w:t>
      </w:r>
      <w:r w:rsidRPr="00A70075">
        <w:t xml:space="preserve"> better understand the needs of innovative Australian small and medium enterprises (SMEs) seeking to </w:t>
      </w:r>
      <w:r>
        <w:t>commercialise</w:t>
      </w:r>
      <w:r w:rsidRPr="7B31737E">
        <w:t xml:space="preserve"> </w:t>
      </w:r>
      <w:r w:rsidRPr="00A70075">
        <w:t xml:space="preserve">their </w:t>
      </w:r>
      <w:r>
        <w:t>business ideas</w:t>
      </w:r>
      <w:r w:rsidRPr="7B31737E">
        <w:t xml:space="preserve">. </w:t>
      </w:r>
    </w:p>
    <w:p w:rsidR="00AA368E" w:rsidRPr="00A70075" w:rsidRDefault="00AA368E" w:rsidP="00AA368E">
      <w:pPr>
        <w:jc w:val="both"/>
      </w:pPr>
      <w:r>
        <w:t>These consultations focused on ‘intellectual capital’, which is defined as:</w:t>
      </w:r>
      <w:r w:rsidRPr="00D44BCA">
        <w:t xml:space="preserve"> </w:t>
      </w:r>
      <w:r>
        <w:t>ideas, know-how, branding, data and</w:t>
      </w:r>
      <w:r w:rsidRPr="00D44BCA">
        <w:t xml:space="preserve"> trade</w:t>
      </w:r>
      <w:r w:rsidRPr="6D7DD911">
        <w:t xml:space="preserve"> </w:t>
      </w:r>
      <w:r w:rsidRPr="00D44BCA">
        <w:t xml:space="preserve">secrets as well </w:t>
      </w:r>
      <w:r w:rsidRPr="00A70075">
        <w:t>as registered I</w:t>
      </w:r>
      <w:r>
        <w:t xml:space="preserve">ntellectual </w:t>
      </w:r>
      <w:r w:rsidRPr="00A70075">
        <w:t>P</w:t>
      </w:r>
      <w:r>
        <w:t>roperty (IP) r</w:t>
      </w:r>
      <w:r w:rsidRPr="00A70075">
        <w:t>ights</w:t>
      </w:r>
      <w:r w:rsidRPr="6D7DD911">
        <w:t xml:space="preserve"> </w:t>
      </w:r>
      <w:r w:rsidRPr="00A70075">
        <w:t xml:space="preserve">such as patents, </w:t>
      </w:r>
      <w:proofErr w:type="spellStart"/>
      <w:r w:rsidRPr="00A70075">
        <w:t>trade</w:t>
      </w:r>
      <w:r w:rsidRPr="6D7DD911">
        <w:t xml:space="preserve"> </w:t>
      </w:r>
      <w:r w:rsidRPr="00A70075">
        <w:t>marks</w:t>
      </w:r>
      <w:proofErr w:type="spellEnd"/>
      <w:r w:rsidRPr="00A70075">
        <w:t xml:space="preserve">, </w:t>
      </w:r>
      <w:r>
        <w:t xml:space="preserve">copyright, </w:t>
      </w:r>
      <w:r w:rsidRPr="00A70075">
        <w:t>designs and plant breeders</w:t>
      </w:r>
      <w:r w:rsidRPr="6D7DD911">
        <w:t>’</w:t>
      </w:r>
      <w:r w:rsidRPr="00A70075">
        <w:t xml:space="preserve"> rights.</w:t>
      </w:r>
    </w:p>
    <w:p w:rsidR="00AA368E" w:rsidRDefault="00AA368E" w:rsidP="00AA368E">
      <w:pPr>
        <w:pStyle w:val="Heading3"/>
      </w:pPr>
      <w:r>
        <w:t>Methodology</w:t>
      </w:r>
    </w:p>
    <w:p w:rsidR="00AA368E" w:rsidRPr="00A70075" w:rsidRDefault="00AA368E" w:rsidP="00AA368E">
      <w:pPr>
        <w:jc w:val="both"/>
      </w:pPr>
      <w:r>
        <w:t>The consultation process ran</w:t>
      </w:r>
      <w:r w:rsidRPr="7B31737E">
        <w:t xml:space="preserve"> </w:t>
      </w:r>
      <w:r>
        <w:t xml:space="preserve">from 25 May to 14 August 2018 and included a series of in-depth interviews with </w:t>
      </w:r>
      <w:r w:rsidRPr="00A70075">
        <w:t xml:space="preserve">a range of </w:t>
      </w:r>
      <w:r>
        <w:t xml:space="preserve">innovative </w:t>
      </w:r>
      <w:r w:rsidRPr="00A70075">
        <w:t xml:space="preserve">SMEs, industry bodies </w:t>
      </w:r>
      <w:r>
        <w:t>as well as</w:t>
      </w:r>
      <w:r w:rsidRPr="00A70075">
        <w:t xml:space="preserve"> business </w:t>
      </w:r>
      <w:r>
        <w:t>and</w:t>
      </w:r>
      <w:r w:rsidRPr="7B31737E">
        <w:t xml:space="preserve"> </w:t>
      </w:r>
      <w:r>
        <w:t>IP</w:t>
      </w:r>
      <w:r w:rsidRPr="00A70075">
        <w:t xml:space="preserve"> service providers</w:t>
      </w:r>
      <w:r>
        <w:t>. An online portal was established to support these consultations and ensure all stakeholders had an opportunity to contribute</w:t>
      </w:r>
      <w:r w:rsidRPr="7B31737E">
        <w:t xml:space="preserve">. </w:t>
      </w:r>
      <w:r>
        <w:t xml:space="preserve">Overall </w:t>
      </w:r>
      <w:r w:rsidRPr="00A70075">
        <w:t>51</w:t>
      </w:r>
      <w:r w:rsidRPr="7B31737E">
        <w:t xml:space="preserve"> </w:t>
      </w:r>
      <w:r w:rsidRPr="00A70075">
        <w:t>in</w:t>
      </w:r>
      <w:r>
        <w:t>-</w:t>
      </w:r>
      <w:r w:rsidRPr="00A70075">
        <w:t>depth interviews were conducted face to face or by phone</w:t>
      </w:r>
      <w:r>
        <w:t xml:space="preserve"> and </w:t>
      </w:r>
      <w:r w:rsidRPr="00A70075">
        <w:t>12 online submissions were received</w:t>
      </w:r>
      <w:r w:rsidRPr="7B31737E">
        <w:t>.</w:t>
      </w:r>
    </w:p>
    <w:p w:rsidR="00AA368E" w:rsidRDefault="00AA368E" w:rsidP="00AA368E">
      <w:pPr>
        <w:pStyle w:val="Heading3"/>
      </w:pPr>
      <w:r>
        <w:t>Findings</w:t>
      </w:r>
    </w:p>
    <w:p w:rsidR="00AA368E" w:rsidRDefault="00AA368E" w:rsidP="00AA368E">
      <w:pPr>
        <w:jc w:val="both"/>
      </w:pPr>
      <w:r>
        <w:t>The key findings of the consultations were:</w:t>
      </w:r>
    </w:p>
    <w:p w:rsidR="00AA368E" w:rsidRDefault="00AA368E" w:rsidP="00AA368E">
      <w:pPr>
        <w:pStyle w:val="ListParagraph"/>
        <w:numPr>
          <w:ilvl w:val="0"/>
          <w:numId w:val="17"/>
        </w:numPr>
        <w:spacing w:before="0" w:after="160" w:line="259" w:lineRule="auto"/>
        <w:jc w:val="both"/>
      </w:pPr>
      <w:r>
        <w:t xml:space="preserve">SMEs view the concept of intellectual capital (especially registered IP rights) as highly technical, complex and daunting; </w:t>
      </w:r>
    </w:p>
    <w:p w:rsidR="00AA368E" w:rsidRDefault="00AA368E" w:rsidP="00AA368E">
      <w:pPr>
        <w:pStyle w:val="ListParagraph"/>
        <w:numPr>
          <w:ilvl w:val="0"/>
          <w:numId w:val="17"/>
        </w:numPr>
        <w:spacing w:before="0" w:after="160" w:line="259" w:lineRule="auto"/>
        <w:jc w:val="both"/>
      </w:pPr>
      <w:r>
        <w:t>The majority of SMEs consulted do not have the skills or experience to effectively recognise and exploit their intellectual capital;</w:t>
      </w:r>
    </w:p>
    <w:p w:rsidR="00AA368E" w:rsidRDefault="00AA368E" w:rsidP="00AA368E">
      <w:pPr>
        <w:pStyle w:val="ListParagraph"/>
        <w:numPr>
          <w:ilvl w:val="0"/>
          <w:numId w:val="17"/>
        </w:numPr>
        <w:spacing w:before="0" w:after="160" w:line="259" w:lineRule="auto"/>
        <w:jc w:val="both"/>
      </w:pPr>
      <w:r>
        <w:t>Strategic advice on these matters is not readily available or affordable</w:t>
      </w:r>
      <w:r w:rsidRPr="01592BE7">
        <w:t xml:space="preserve">; </w:t>
      </w:r>
    </w:p>
    <w:p w:rsidR="00AA368E" w:rsidRDefault="00AA368E" w:rsidP="00AA368E">
      <w:pPr>
        <w:pStyle w:val="ListParagraph"/>
        <w:numPr>
          <w:ilvl w:val="0"/>
          <w:numId w:val="17"/>
        </w:numPr>
        <w:spacing w:before="0" w:after="160" w:line="259" w:lineRule="auto"/>
        <w:jc w:val="both"/>
      </w:pPr>
      <w:r>
        <w:t>SMEs lack the foresight to deal with enforcement and infringement actions when they arise.</w:t>
      </w:r>
    </w:p>
    <w:p w:rsidR="00AA368E" w:rsidRDefault="00AA368E" w:rsidP="00AA368E">
      <w:pPr>
        <w:pStyle w:val="Heading2"/>
      </w:pPr>
      <w:bookmarkStart w:id="7" w:name="_Toc7163832"/>
      <w:r>
        <w:t>Opportunities for further action</w:t>
      </w:r>
      <w:bookmarkEnd w:id="7"/>
    </w:p>
    <w:p w:rsidR="00AA368E" w:rsidRDefault="00AA368E" w:rsidP="00AA368E">
      <w:pPr>
        <w:jc w:val="both"/>
      </w:pPr>
      <w:r>
        <w:t>There are a number of opportunities to address the challenges identified through the consultations. These can be categorised as:</w:t>
      </w:r>
    </w:p>
    <w:p w:rsidR="00AA368E" w:rsidRDefault="00AA368E" w:rsidP="00AA368E">
      <w:pPr>
        <w:pStyle w:val="ListParagraph"/>
        <w:numPr>
          <w:ilvl w:val="0"/>
          <w:numId w:val="16"/>
        </w:numPr>
        <w:spacing w:before="0" w:after="160" w:line="259" w:lineRule="auto"/>
        <w:jc w:val="both"/>
      </w:pPr>
      <w:r>
        <w:t>Improved education and awareness of intellectual capital via a range of delivery modes and channels;</w:t>
      </w:r>
    </w:p>
    <w:p w:rsidR="00AA368E" w:rsidRDefault="00AA368E" w:rsidP="00AA368E">
      <w:pPr>
        <w:pStyle w:val="ListParagraph"/>
        <w:numPr>
          <w:ilvl w:val="0"/>
          <w:numId w:val="16"/>
        </w:numPr>
        <w:spacing w:before="0" w:after="160" w:line="259" w:lineRule="auto"/>
        <w:jc w:val="both"/>
      </w:pPr>
      <w:r>
        <w:lastRenderedPageBreak/>
        <w:t>Development of new tools or services to improve understanding of and interaction with the broader IP system;</w:t>
      </w:r>
    </w:p>
    <w:p w:rsidR="00AA368E" w:rsidRPr="00E5560B" w:rsidRDefault="00AA368E" w:rsidP="00AA368E">
      <w:pPr>
        <w:pStyle w:val="ListParagraph"/>
        <w:numPr>
          <w:ilvl w:val="0"/>
          <w:numId w:val="16"/>
        </w:numPr>
        <w:spacing w:before="0" w:after="160" w:line="259" w:lineRule="auto"/>
        <w:jc w:val="both"/>
      </w:pPr>
      <w:r>
        <w:t>Streamlined enforcement options.</w:t>
      </w:r>
    </w:p>
    <w:p w:rsidR="00AA368E" w:rsidRDefault="00AA368E" w:rsidP="00AA368E">
      <w:pPr>
        <w:jc w:val="both"/>
      </w:pPr>
      <w:r>
        <w:t>These opportunities present a variety of concepts and ideas which may remedy the issues identified. However, all of these require further exploration and analysis. Ongoing investment in the development of a robust and relevant evidence base is also required</w:t>
      </w:r>
      <w:r w:rsidRPr="7B31737E">
        <w:t xml:space="preserve">. </w:t>
      </w:r>
      <w:r>
        <w:t>We consider this work to be the starting point for the development of an IP policy framework.</w:t>
      </w:r>
    </w:p>
    <w:p w:rsidR="00AA368E" w:rsidRPr="00215637" w:rsidRDefault="00AA368E" w:rsidP="00AA368E">
      <w:pPr>
        <w:pStyle w:val="Heading3"/>
      </w:pPr>
      <w:r>
        <w:t>Improved IP educational material</w:t>
      </w:r>
    </w:p>
    <w:p w:rsidR="00AA368E" w:rsidRPr="008F3242" w:rsidRDefault="00AA368E" w:rsidP="00AA368E">
      <w:r>
        <w:t>IP educational material could be improved by b</w:t>
      </w:r>
      <w:r w:rsidRPr="008F3242">
        <w:t>uild</w:t>
      </w:r>
      <w:r>
        <w:t>ing</w:t>
      </w:r>
      <w:r w:rsidRPr="008F3242">
        <w:t xml:space="preserve"> on existing educational material (e.g. </w:t>
      </w:r>
      <w:r>
        <w:t xml:space="preserve">the </w:t>
      </w:r>
      <w:r w:rsidRPr="008F3242">
        <w:t xml:space="preserve">IP Toolkit for Collaboration </w:t>
      </w:r>
      <w:r>
        <w:t>or</w:t>
      </w:r>
      <w:r w:rsidRPr="008F3242">
        <w:t xml:space="preserve"> IP Australia’s ‘Engaging an Attorney’ toolkit</w:t>
      </w:r>
      <w:r>
        <w:t xml:space="preserve"> and ‘Upskill small business education program’</w:t>
      </w:r>
      <w:r w:rsidRPr="008F3242">
        <w:t>) to deliver</w:t>
      </w:r>
      <w:r>
        <w:t xml:space="preserve"> advisory services possibly through a workshop or seminar model. It is envisaged that this service could:</w:t>
      </w:r>
    </w:p>
    <w:p w:rsidR="00AA368E" w:rsidRPr="008F3242" w:rsidRDefault="00AA368E" w:rsidP="00AA368E">
      <w:pPr>
        <w:pStyle w:val="ListParagraph"/>
        <w:numPr>
          <w:ilvl w:val="0"/>
          <w:numId w:val="16"/>
        </w:numPr>
        <w:spacing w:before="0" w:after="160" w:line="259" w:lineRule="auto"/>
        <w:jc w:val="both"/>
      </w:pPr>
      <w:r>
        <w:t>c</w:t>
      </w:r>
      <w:r w:rsidRPr="008F3242">
        <w:t xml:space="preserve">over all aspects of intellectual capital, including registrable IP rights and non-registrable IP, basic recording and management, registration processes and </w:t>
      </w:r>
      <w:r>
        <w:t>enforcement options</w:t>
      </w:r>
      <w:r w:rsidRPr="008F3242">
        <w:t xml:space="preserve">; and </w:t>
      </w:r>
    </w:p>
    <w:p w:rsidR="00AA368E" w:rsidRPr="008F3242" w:rsidRDefault="00AA368E" w:rsidP="00AA368E">
      <w:pPr>
        <w:pStyle w:val="ListParagraph"/>
        <w:numPr>
          <w:ilvl w:val="0"/>
          <w:numId w:val="16"/>
        </w:numPr>
        <w:spacing w:before="0" w:after="160" w:line="259" w:lineRule="auto"/>
        <w:jc w:val="both"/>
      </w:pPr>
      <w:r>
        <w:t>e</w:t>
      </w:r>
      <w:r w:rsidRPr="008F3242">
        <w:t>ncourag</w:t>
      </w:r>
      <w:r>
        <w:t>e</w:t>
      </w:r>
      <w:r w:rsidRPr="008F3242">
        <w:t xml:space="preserve"> SMEs to view intellectual capital as a strategic asset for businesses, to be managed and exploited accordingly.</w:t>
      </w:r>
    </w:p>
    <w:p w:rsidR="00AA368E" w:rsidRPr="00077401" w:rsidRDefault="00AA368E" w:rsidP="00AA368E">
      <w:pPr>
        <w:pStyle w:val="Heading3"/>
      </w:pPr>
      <w:r>
        <w:t xml:space="preserve">Assist SMEs </w:t>
      </w:r>
      <w:r w:rsidRPr="00A453EB">
        <w:rPr>
          <w:rStyle w:val="Heading3Char"/>
        </w:rPr>
        <w:t>to</w:t>
      </w:r>
      <w:r>
        <w:t xml:space="preserve"> record and track IP</w:t>
      </w:r>
    </w:p>
    <w:p w:rsidR="00AA368E" w:rsidRDefault="00AA368E" w:rsidP="00AA368E">
      <w:pPr>
        <w:jc w:val="both"/>
      </w:pPr>
      <w:r w:rsidRPr="008F3242">
        <w:t>The consultation</w:t>
      </w:r>
      <w:r>
        <w:t xml:space="preserve"> found that collaboration with g</w:t>
      </w:r>
      <w:r w:rsidRPr="008F3242">
        <w:t>overnment</w:t>
      </w:r>
      <w:r>
        <w:t xml:space="preserve"> departments, and applying for g</w:t>
      </w:r>
      <w:r w:rsidRPr="008F3242">
        <w:t>overnment funding, can lead SMEs to improve their record keeping and identification of IP. Changes to program reporting requirements could encourage businesses to record and track their intellectual capital, helping businesses to better manage and exploit their existing intellect</w:t>
      </w:r>
      <w:r>
        <w:t>ual capital. Such requirements c</w:t>
      </w:r>
      <w:r w:rsidRPr="008F3242">
        <w:t>ould be supported by increased advisory and educational opportunities for SMEs.</w:t>
      </w:r>
    </w:p>
    <w:p w:rsidR="00AA368E" w:rsidRDefault="00AA368E" w:rsidP="00AA368E">
      <w:pPr>
        <w:pStyle w:val="Heading3"/>
      </w:pPr>
      <w:r>
        <w:t>Building an evidence base</w:t>
      </w:r>
    </w:p>
    <w:p w:rsidR="00AA368E" w:rsidRDefault="00AA368E" w:rsidP="00AA368E">
      <w:pPr>
        <w:jc w:val="both"/>
      </w:pPr>
      <w:r>
        <w:t xml:space="preserve">The evidence base for </w:t>
      </w:r>
      <w:r w:rsidRPr="008F3242">
        <w:t xml:space="preserve">IP policy development </w:t>
      </w:r>
      <w:r>
        <w:t xml:space="preserve">could be improved </w:t>
      </w:r>
      <w:r w:rsidRPr="008F3242">
        <w:t>by introducing questions on intellectual</w:t>
      </w:r>
      <w:r>
        <w:t xml:space="preserve"> capital into existing ABS and d</w:t>
      </w:r>
      <w:r w:rsidRPr="008F3242">
        <w:t>epartmental surveys.</w:t>
      </w:r>
    </w:p>
    <w:p w:rsidR="00AA368E" w:rsidRDefault="00AA368E" w:rsidP="00AA368E">
      <w:pPr>
        <w:pStyle w:val="Heading3"/>
      </w:pPr>
      <w:r>
        <w:t>Better IP Advice</w:t>
      </w:r>
    </w:p>
    <w:p w:rsidR="00AA368E" w:rsidRDefault="00AA368E" w:rsidP="00AA368E">
      <w:pPr>
        <w:jc w:val="both"/>
      </w:pPr>
      <w:r>
        <w:t>T</w:t>
      </w:r>
      <w:r w:rsidRPr="00446DC3">
        <w:t>he intellectual capital advice available through the Entrepreneurs’ Programme</w:t>
      </w:r>
      <w:r>
        <w:t xml:space="preserve"> could be expanded</w:t>
      </w:r>
      <w:r w:rsidRPr="00446DC3">
        <w:t xml:space="preserve"> to address the need for independent strategic advice.</w:t>
      </w:r>
    </w:p>
    <w:p w:rsidR="00AA368E" w:rsidRDefault="00AA368E" w:rsidP="00AA368E">
      <w:pPr>
        <w:pStyle w:val="Heading3"/>
      </w:pPr>
      <w:r>
        <w:lastRenderedPageBreak/>
        <w:t>IP Education and Training Centre</w:t>
      </w:r>
    </w:p>
    <w:p w:rsidR="00AA368E" w:rsidRPr="00446DC3" w:rsidRDefault="00AA368E" w:rsidP="00AA368E">
      <w:pPr>
        <w:jc w:val="both"/>
      </w:pPr>
      <w:r>
        <w:t>A</w:t>
      </w:r>
      <w:r w:rsidRPr="00446DC3">
        <w:t>n IP Education and Training Centre to provide economy-wide training targeting businesses, advisors/aggregators and patent attorneys. The Centre could be modelled on the Singaporean IP Academy model and could cover topics such as:</w:t>
      </w:r>
    </w:p>
    <w:p w:rsidR="00AA368E" w:rsidRPr="00446DC3" w:rsidRDefault="00AA368E" w:rsidP="00AA368E">
      <w:pPr>
        <w:pStyle w:val="ListParagraph"/>
        <w:numPr>
          <w:ilvl w:val="0"/>
          <w:numId w:val="16"/>
        </w:numPr>
        <w:spacing w:before="0" w:after="160" w:line="259" w:lineRule="auto"/>
        <w:jc w:val="both"/>
      </w:pPr>
      <w:r>
        <w:t>u</w:t>
      </w:r>
      <w:r w:rsidRPr="00446DC3">
        <w:t xml:space="preserve">nderstanding the importance and the need for IP registers and how to effectively use these; </w:t>
      </w:r>
    </w:p>
    <w:p w:rsidR="00AA368E" w:rsidRPr="00446DC3" w:rsidRDefault="00AA368E" w:rsidP="00AA368E">
      <w:pPr>
        <w:pStyle w:val="ListParagraph"/>
        <w:numPr>
          <w:ilvl w:val="0"/>
          <w:numId w:val="16"/>
        </w:numPr>
        <w:spacing w:before="0" w:after="160" w:line="259" w:lineRule="auto"/>
        <w:jc w:val="both"/>
      </w:pPr>
      <w:r>
        <w:t>how to develop, use and enforce n</w:t>
      </w:r>
      <w:r w:rsidRPr="00446DC3">
        <w:t xml:space="preserve">on-disclosure </w:t>
      </w:r>
      <w:r>
        <w:t>a</w:t>
      </w:r>
      <w:r w:rsidRPr="00446DC3">
        <w:t xml:space="preserve">greements; </w:t>
      </w:r>
    </w:p>
    <w:p w:rsidR="00AA368E" w:rsidRPr="00446DC3" w:rsidRDefault="00AA368E" w:rsidP="00AA368E">
      <w:pPr>
        <w:pStyle w:val="ListParagraph"/>
        <w:numPr>
          <w:ilvl w:val="0"/>
          <w:numId w:val="16"/>
        </w:numPr>
        <w:spacing w:before="0" w:after="160" w:line="259" w:lineRule="auto"/>
        <w:jc w:val="both"/>
      </w:pPr>
      <w:r>
        <w:t>n</w:t>
      </w:r>
      <w:r w:rsidRPr="00446DC3">
        <w:t xml:space="preserve">avigating foreign IP systems; </w:t>
      </w:r>
    </w:p>
    <w:p w:rsidR="00AA368E" w:rsidRPr="00446DC3" w:rsidRDefault="00AA368E" w:rsidP="00AA368E">
      <w:pPr>
        <w:pStyle w:val="ListParagraph"/>
        <w:numPr>
          <w:ilvl w:val="0"/>
          <w:numId w:val="16"/>
        </w:numPr>
        <w:spacing w:before="0" w:after="160" w:line="259" w:lineRule="auto"/>
        <w:jc w:val="both"/>
      </w:pPr>
      <w:r>
        <w:t>h</w:t>
      </w:r>
      <w:r w:rsidRPr="00446DC3">
        <w:t xml:space="preserve">ow to develop and enforce employment agreements covering confidentiality and IP; </w:t>
      </w:r>
    </w:p>
    <w:p w:rsidR="00AA368E" w:rsidRPr="00446DC3" w:rsidRDefault="00AA368E" w:rsidP="00AA368E">
      <w:pPr>
        <w:pStyle w:val="ListParagraph"/>
        <w:numPr>
          <w:ilvl w:val="0"/>
          <w:numId w:val="16"/>
        </w:numPr>
        <w:spacing w:before="0" w:after="160" w:line="259" w:lineRule="auto"/>
        <w:jc w:val="both"/>
      </w:pPr>
      <w:r>
        <w:t>h</w:t>
      </w:r>
      <w:r w:rsidRPr="00446DC3">
        <w:t>ow to effectively license IP; and,</w:t>
      </w:r>
    </w:p>
    <w:p w:rsidR="00AA368E" w:rsidRPr="00446DC3" w:rsidRDefault="00AA368E" w:rsidP="00AA368E">
      <w:pPr>
        <w:pStyle w:val="ListParagraph"/>
        <w:numPr>
          <w:ilvl w:val="0"/>
          <w:numId w:val="16"/>
        </w:numPr>
        <w:spacing w:before="0" w:after="160" w:line="259" w:lineRule="auto"/>
        <w:jc w:val="both"/>
      </w:pPr>
      <w:r>
        <w:t>t</w:t>
      </w:r>
      <w:r w:rsidRPr="00446DC3">
        <w:t xml:space="preserve">raining for IP advisors on providing strategic advice to SMEs on how to exploit their intellectual capital. </w:t>
      </w:r>
    </w:p>
    <w:p w:rsidR="00AA368E" w:rsidRDefault="00AA368E" w:rsidP="00AA368E">
      <w:pPr>
        <w:pStyle w:val="Heading3"/>
      </w:pPr>
      <w:r>
        <w:t>Streamlined enforcement options</w:t>
      </w:r>
    </w:p>
    <w:p w:rsidR="00AA368E" w:rsidRDefault="00AA368E" w:rsidP="00AA368E">
      <w:pPr>
        <w:jc w:val="both"/>
      </w:pPr>
      <w:r>
        <w:t>It would be beneficial to explore options to lower the costs of enforcing IP rights to help businesses:</w:t>
      </w:r>
    </w:p>
    <w:p w:rsidR="00AA368E" w:rsidRPr="00446DC3" w:rsidRDefault="00AA368E" w:rsidP="00AA368E">
      <w:pPr>
        <w:pStyle w:val="ListParagraph"/>
        <w:numPr>
          <w:ilvl w:val="0"/>
          <w:numId w:val="16"/>
        </w:numPr>
        <w:spacing w:before="0" w:after="160" w:line="259" w:lineRule="auto"/>
        <w:jc w:val="both"/>
      </w:pPr>
      <w:r>
        <w:t>p</w:t>
      </w:r>
      <w:r w:rsidRPr="00446DC3">
        <w:t>rotect their technology</w:t>
      </w:r>
      <w:r>
        <w:t xml:space="preserve"> in a timely fashion</w:t>
      </w:r>
      <w:r w:rsidRPr="00446DC3">
        <w:t>, prior to entering the market; and</w:t>
      </w:r>
    </w:p>
    <w:p w:rsidR="00AA368E" w:rsidRPr="00446DC3" w:rsidRDefault="00AA368E" w:rsidP="00AA368E">
      <w:pPr>
        <w:pStyle w:val="ListParagraph"/>
        <w:numPr>
          <w:ilvl w:val="0"/>
          <w:numId w:val="16"/>
        </w:numPr>
        <w:spacing w:before="0" w:after="160" w:line="259" w:lineRule="auto"/>
        <w:jc w:val="both"/>
      </w:pPr>
      <w:r>
        <w:t>s</w:t>
      </w:r>
      <w:r w:rsidRPr="00446DC3">
        <w:t>ecure their position in the technology landscape and enable them to realise</w:t>
      </w:r>
      <w:r w:rsidRPr="00446DC3" w:rsidDel="009C2209">
        <w:t xml:space="preserve"> </w:t>
      </w:r>
      <w:r w:rsidRPr="00446DC3">
        <w:t xml:space="preserve">the business’ commercialisation strategy. </w:t>
      </w:r>
    </w:p>
    <w:p w:rsidR="00AA368E" w:rsidRDefault="00AA368E" w:rsidP="00AA368E">
      <w:pPr>
        <w:jc w:val="both"/>
      </w:pPr>
      <w:r>
        <w:t>This could involve:</w:t>
      </w:r>
    </w:p>
    <w:p w:rsidR="00AA368E" w:rsidRDefault="00AA368E" w:rsidP="00AA368E">
      <w:pPr>
        <w:pStyle w:val="ListParagraph"/>
        <w:numPr>
          <w:ilvl w:val="0"/>
          <w:numId w:val="21"/>
        </w:numPr>
        <w:spacing w:before="0" w:after="160" w:line="259" w:lineRule="auto"/>
        <w:jc w:val="both"/>
      </w:pPr>
      <w:r>
        <w:t>a</w:t>
      </w:r>
      <w:r w:rsidRPr="00446DC3">
        <w:t xml:space="preserve">n IP ombudsman or IP arbitration service </w:t>
      </w:r>
      <w:r>
        <w:t xml:space="preserve">could be established </w:t>
      </w:r>
      <w:r w:rsidRPr="00446DC3">
        <w:t>with mandatory s</w:t>
      </w:r>
      <w:r>
        <w:t>hort time frames and fixed fees;</w:t>
      </w:r>
    </w:p>
    <w:p w:rsidR="00AA368E" w:rsidRDefault="00AA368E" w:rsidP="00AA368E">
      <w:pPr>
        <w:pStyle w:val="ListParagraph"/>
        <w:numPr>
          <w:ilvl w:val="0"/>
          <w:numId w:val="21"/>
        </w:numPr>
        <w:spacing w:before="0" w:after="160" w:line="259" w:lineRule="auto"/>
        <w:jc w:val="both"/>
      </w:pPr>
      <w:r>
        <w:t>sharing data between government agencies to accelerate or automate existing enforcement mechanisms; or</w:t>
      </w:r>
    </w:p>
    <w:p w:rsidR="00AA368E" w:rsidRDefault="00AA368E" w:rsidP="00AA368E">
      <w:pPr>
        <w:pStyle w:val="ListParagraph"/>
        <w:numPr>
          <w:ilvl w:val="0"/>
          <w:numId w:val="21"/>
        </w:numPr>
        <w:spacing w:before="0" w:after="160" w:line="259" w:lineRule="auto"/>
        <w:jc w:val="both"/>
      </w:pPr>
      <w:r>
        <w:t>targeted assistance to resolve IP disputes.</w:t>
      </w:r>
    </w:p>
    <w:p w:rsidR="00AA368E" w:rsidRPr="00446DC3" w:rsidRDefault="00AA368E" w:rsidP="00AA368E">
      <w:pPr>
        <w:pStyle w:val="Heading3"/>
      </w:pPr>
      <w:r>
        <w:t xml:space="preserve">Holistic IP database </w:t>
      </w:r>
    </w:p>
    <w:p w:rsidR="00AA368E" w:rsidRPr="00446DC3" w:rsidRDefault="00AA368E" w:rsidP="00AA368E">
      <w:pPr>
        <w:jc w:val="both"/>
      </w:pPr>
      <w:r>
        <w:t>A</w:t>
      </w:r>
      <w:r w:rsidRPr="00446DC3">
        <w:t xml:space="preserve"> holistic IP database </w:t>
      </w:r>
      <w:r>
        <w:t>could be established, for example by building on</w:t>
      </w:r>
      <w:r w:rsidRPr="00446DC3">
        <w:t xml:space="preserve"> the existing IP search engine of registered IP rights to </w:t>
      </w:r>
      <w:r>
        <w:t>include</w:t>
      </w:r>
      <w:r w:rsidRPr="00446DC3">
        <w:t>:</w:t>
      </w:r>
    </w:p>
    <w:p w:rsidR="00AA368E" w:rsidRPr="00446DC3" w:rsidRDefault="00AA368E" w:rsidP="00AA368E">
      <w:pPr>
        <w:pStyle w:val="ListParagraph"/>
        <w:numPr>
          <w:ilvl w:val="0"/>
          <w:numId w:val="16"/>
        </w:numPr>
        <w:spacing w:before="0" w:after="160" w:line="259" w:lineRule="auto"/>
        <w:jc w:val="both"/>
      </w:pPr>
      <w:r>
        <w:t>s</w:t>
      </w:r>
      <w:r w:rsidRPr="00446DC3">
        <w:t>earches of scientific publications;</w:t>
      </w:r>
    </w:p>
    <w:p w:rsidR="00AA368E" w:rsidRPr="00446DC3" w:rsidRDefault="00AA368E" w:rsidP="00AA368E">
      <w:pPr>
        <w:pStyle w:val="ListParagraph"/>
        <w:numPr>
          <w:ilvl w:val="0"/>
          <w:numId w:val="16"/>
        </w:numPr>
        <w:spacing w:before="0" w:after="160" w:line="259" w:lineRule="auto"/>
        <w:jc w:val="both"/>
      </w:pPr>
      <w:r>
        <w:t>m</w:t>
      </w:r>
      <w:r w:rsidRPr="00446DC3">
        <w:t>atching text on the internet or digitised publications; and</w:t>
      </w:r>
    </w:p>
    <w:p w:rsidR="00AA368E" w:rsidRPr="00446DC3" w:rsidRDefault="00AA368E" w:rsidP="00AA368E">
      <w:pPr>
        <w:pStyle w:val="ListParagraph"/>
        <w:numPr>
          <w:ilvl w:val="0"/>
          <w:numId w:val="16"/>
        </w:numPr>
        <w:spacing w:before="0" w:after="160" w:line="259" w:lineRule="auto"/>
        <w:jc w:val="both"/>
      </w:pPr>
      <w:r>
        <w:t>b</w:t>
      </w:r>
      <w:r w:rsidRPr="00446DC3">
        <w:t>usiness names, domain names and broader market research.</w:t>
      </w:r>
    </w:p>
    <w:p w:rsidR="00AA368E" w:rsidRDefault="00AA368E" w:rsidP="00AA368E">
      <w:pPr>
        <w:pStyle w:val="Heading3"/>
      </w:pPr>
      <w:r>
        <w:t xml:space="preserve">Improved IP arbitration process </w:t>
      </w:r>
    </w:p>
    <w:p w:rsidR="00AA368E" w:rsidRPr="00446DC3" w:rsidRDefault="00AA368E" w:rsidP="00AA368E">
      <w:pPr>
        <w:jc w:val="both"/>
      </w:pPr>
      <w:r>
        <w:t>A</w:t>
      </w:r>
      <w:r w:rsidRPr="00446DC3">
        <w:t xml:space="preserve">n IP ombudsman or IP arbitration service </w:t>
      </w:r>
      <w:r>
        <w:t xml:space="preserve">could be established </w:t>
      </w:r>
      <w:r w:rsidRPr="00446DC3">
        <w:t>with mandatory short time frames and fixed fees. Such a process would limit risk and address the key constraints raised by SMEs, namely the time and costs associated with enforcing IP.</w:t>
      </w:r>
    </w:p>
    <w:p w:rsidR="00AA368E" w:rsidRDefault="00AA368E" w:rsidP="00AA368E">
      <w:pPr>
        <w:pStyle w:val="Heading2"/>
      </w:pPr>
      <w:bookmarkStart w:id="8" w:name="_Toc7163833"/>
      <w:r>
        <w:lastRenderedPageBreak/>
        <w:t>Discussion Questions</w:t>
      </w:r>
      <w:bookmarkEnd w:id="8"/>
    </w:p>
    <w:p w:rsidR="00AA368E" w:rsidRDefault="00AA368E" w:rsidP="00AA368E">
      <w:r>
        <w:t xml:space="preserve">The department is seeking your feedback on this discussion paper and the Commercialising Business Ideas Consultation Report. Your feedback will inform the department’s policy development process. </w:t>
      </w:r>
    </w:p>
    <w:p w:rsidR="00AA368E" w:rsidRDefault="00AA368E" w:rsidP="00AA368E">
      <w:r>
        <w:t xml:space="preserve">In your feedback please address the below questions. </w:t>
      </w:r>
    </w:p>
    <w:p w:rsidR="00AA368E" w:rsidRDefault="00AA368E" w:rsidP="00AA368E">
      <w:pPr>
        <w:pStyle w:val="ListParagraph"/>
        <w:numPr>
          <w:ilvl w:val="0"/>
          <w:numId w:val="18"/>
        </w:numPr>
        <w:spacing w:before="0" w:after="160" w:line="259" w:lineRule="auto"/>
      </w:pPr>
      <w:r>
        <w:t>In your view, do the opportunities for further action described above provide a robust basis for addressing the challenges Australian businesses face when commercialising their intellectual capital?</w:t>
      </w:r>
    </w:p>
    <w:p w:rsidR="00AA368E" w:rsidRDefault="00AA368E" w:rsidP="00AA368E">
      <w:pPr>
        <w:pStyle w:val="ListParagraph"/>
        <w:numPr>
          <w:ilvl w:val="0"/>
          <w:numId w:val="18"/>
        </w:numPr>
        <w:spacing w:before="0" w:after="160" w:line="259" w:lineRule="auto"/>
      </w:pPr>
      <w:r>
        <w:t>In your view, are there any important opportunities for action missing from the above list? If so what are they?</w:t>
      </w:r>
    </w:p>
    <w:p w:rsidR="00AA368E" w:rsidRDefault="00AA368E" w:rsidP="00AA368E">
      <w:pPr>
        <w:pStyle w:val="ListParagraph"/>
        <w:numPr>
          <w:ilvl w:val="0"/>
          <w:numId w:val="18"/>
        </w:numPr>
        <w:spacing w:before="0" w:after="160" w:line="259" w:lineRule="auto"/>
      </w:pPr>
      <w:r>
        <w:t>Of the opportunities for further action described above, which do you think have the greatest likelihood of materially improving the ability of Australian businesses to commercialise their intellectual capital?</w:t>
      </w:r>
    </w:p>
    <w:p w:rsidR="00AA368E" w:rsidRDefault="00AA368E" w:rsidP="00AA368E">
      <w:pPr>
        <w:pStyle w:val="ListParagraph"/>
        <w:numPr>
          <w:ilvl w:val="0"/>
          <w:numId w:val="18"/>
        </w:numPr>
        <w:spacing w:before="0" w:after="160" w:line="259" w:lineRule="auto"/>
      </w:pPr>
      <w:r>
        <w:t>Please provide any other comments on the discussion paper.</w:t>
      </w:r>
    </w:p>
    <w:p w:rsidR="00AA368E" w:rsidRDefault="00AA368E" w:rsidP="00AA368E">
      <w:pPr>
        <w:pStyle w:val="ListParagraph"/>
        <w:numPr>
          <w:ilvl w:val="0"/>
          <w:numId w:val="18"/>
        </w:numPr>
        <w:spacing w:before="0" w:after="160" w:line="259" w:lineRule="auto"/>
      </w:pPr>
      <w:r>
        <w:t>Would you like the department to contact you to discuss your comments and/ or would you like to be involved in the ongoing policy development process?</w:t>
      </w:r>
      <w:r w:rsidRPr="00AA368E">
        <w:t xml:space="preserve"> </w:t>
      </w:r>
    </w:p>
    <w:p w:rsidR="00AA368E" w:rsidRDefault="00AA368E" w:rsidP="00AA368E">
      <w:pPr>
        <w:pStyle w:val="ListParagraph"/>
        <w:numPr>
          <w:ilvl w:val="0"/>
          <w:numId w:val="0"/>
        </w:numPr>
        <w:spacing w:before="0" w:after="160" w:line="259" w:lineRule="auto"/>
        <w:ind w:left="360"/>
      </w:pPr>
    </w:p>
    <w:p w:rsidR="00AA368E" w:rsidRDefault="00AA368E" w:rsidP="00AA368E">
      <w:pPr>
        <w:pStyle w:val="ListParagraph"/>
        <w:numPr>
          <w:ilvl w:val="0"/>
          <w:numId w:val="0"/>
        </w:numPr>
        <w:spacing w:line="259" w:lineRule="auto"/>
        <w:ind w:left="284" w:hanging="284"/>
        <w:contextualSpacing w:val="0"/>
      </w:pPr>
      <w:r>
        <w:t>Please submit your comments, ideas and suggestions via our online consultation hub.</w:t>
      </w:r>
      <w:r w:rsidRPr="005731E5">
        <w:t xml:space="preserve"> </w:t>
      </w:r>
      <w:bookmarkStart w:id="9" w:name="_GoBack"/>
      <w:bookmarkEnd w:id="9"/>
    </w:p>
    <w:p w:rsidR="00AA368E" w:rsidRDefault="00AA368E" w:rsidP="00AA368E">
      <w:pPr>
        <w:pStyle w:val="ListParagraph"/>
        <w:numPr>
          <w:ilvl w:val="0"/>
          <w:numId w:val="0"/>
        </w:numPr>
        <w:spacing w:before="0" w:after="160" w:line="259" w:lineRule="auto"/>
        <w:ind w:left="284" w:hanging="284"/>
      </w:pPr>
      <w:r>
        <w:t xml:space="preserve">If you have questions, please email </w:t>
      </w:r>
      <w:hyperlink r:id="rId9" w:history="1">
        <w:r w:rsidRPr="00E26E6B">
          <w:rPr>
            <w:rStyle w:val="Hyperlink"/>
          </w:rPr>
          <w:t>IP.consultation@industry.gov.au</w:t>
        </w:r>
      </w:hyperlink>
      <w:r>
        <w:t>.</w:t>
      </w:r>
    </w:p>
    <w:bookmarkEnd w:id="1"/>
    <w:sectPr w:rsidR="00AA368E" w:rsidSect="007240FE">
      <w:headerReference w:type="default"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A7B" w:rsidRDefault="00D86A7B" w:rsidP="007240FE">
      <w:pPr>
        <w:spacing w:before="0" w:after="0" w:line="240" w:lineRule="auto"/>
      </w:pPr>
      <w:r>
        <w:separator/>
      </w:r>
    </w:p>
  </w:endnote>
  <w:endnote w:type="continuationSeparator" w:id="0">
    <w:p w:rsidR="00D86A7B" w:rsidRDefault="00D86A7B" w:rsidP="007240F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D00" w:rsidRDefault="00F56DDC">
    <w:pPr>
      <w:pStyle w:val="Footer"/>
      <w:jc w:val="right"/>
    </w:pPr>
    <w:r w:rsidRPr="00F56DDC">
      <w:t>Commercialising</w:t>
    </w:r>
    <w:r>
      <w:t xml:space="preserve"> business ideas </w:t>
    </w:r>
    <w:r w:rsidR="00DE3D00">
      <w:tab/>
      <w:t>industry.gov.au</w:t>
    </w:r>
    <w:r w:rsidR="00DE3D00">
      <w:tab/>
    </w:r>
    <w:sdt>
      <w:sdtPr>
        <w:id w:val="-443145934"/>
        <w:docPartObj>
          <w:docPartGallery w:val="Page Numbers (Bottom of Page)"/>
          <w:docPartUnique/>
        </w:docPartObj>
      </w:sdtPr>
      <w:sdtEndPr>
        <w:rPr>
          <w:noProof/>
        </w:rPr>
      </w:sdtEndPr>
      <w:sdtContent>
        <w:r w:rsidR="00DE3D00">
          <w:fldChar w:fldCharType="begin"/>
        </w:r>
        <w:r w:rsidR="00DE3D00">
          <w:instrText xml:space="preserve"> PAGE   \* MERGEFORMAT </w:instrText>
        </w:r>
        <w:r w:rsidR="00DE3D00">
          <w:fldChar w:fldCharType="separate"/>
        </w:r>
        <w:r w:rsidR="00102550">
          <w:rPr>
            <w:noProof/>
          </w:rPr>
          <w:t>2</w:t>
        </w:r>
        <w:r w:rsidR="00DE3D00">
          <w:rPr>
            <w:noProof/>
          </w:rPr>
          <w:fldChar w:fldCharType="end"/>
        </w:r>
      </w:sdtContent>
    </w:sdt>
  </w:p>
  <w:p w:rsidR="005C2356" w:rsidRDefault="005C23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D00" w:rsidRDefault="00DE3D00">
    <w:pPr>
      <w:pStyle w:val="Footer"/>
      <w:jc w:val="right"/>
    </w:pPr>
    <w:r>
      <w:t>Document title goes here</w:t>
    </w:r>
    <w:r>
      <w:tab/>
      <w:t>industry.gov.au</w:t>
    </w:r>
    <w:r>
      <w:tab/>
    </w:r>
    <w:sdt>
      <w:sdtPr>
        <w:id w:val="-106849099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02550">
          <w:rPr>
            <w:noProof/>
          </w:rPr>
          <w:t>1</w:t>
        </w:r>
        <w:r>
          <w:rPr>
            <w:noProof/>
          </w:rPr>
          <w:fldChar w:fldCharType="end"/>
        </w:r>
      </w:sdtContent>
    </w:sdt>
  </w:p>
  <w:p w:rsidR="005C2356" w:rsidRDefault="005C23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A7B" w:rsidRDefault="00D86A7B" w:rsidP="007240FE">
      <w:pPr>
        <w:spacing w:before="0" w:after="0" w:line="240" w:lineRule="auto"/>
      </w:pPr>
      <w:r>
        <w:separator/>
      </w:r>
    </w:p>
  </w:footnote>
  <w:footnote w:type="continuationSeparator" w:id="0">
    <w:p w:rsidR="00D86A7B" w:rsidRDefault="00D86A7B" w:rsidP="007240FE">
      <w:pPr>
        <w:spacing w:before="0" w:after="0" w:line="240" w:lineRule="auto"/>
      </w:pPr>
      <w:r>
        <w:continuationSeparator/>
      </w:r>
    </w:p>
  </w:footnote>
  <w:footnote w:id="1">
    <w:p w:rsidR="00AA368E" w:rsidRDefault="00AA368E" w:rsidP="00AA368E">
      <w:pPr>
        <w:pStyle w:val="FootnoteText"/>
      </w:pPr>
      <w:r>
        <w:rPr>
          <w:rStyle w:val="FootnoteReference"/>
        </w:rPr>
        <w:footnoteRef/>
      </w:r>
      <w:r>
        <w:t xml:space="preserve"> Portfolio Budget Statement 2018-19, p13.</w:t>
      </w:r>
    </w:p>
  </w:footnote>
  <w:footnote w:id="2">
    <w:p w:rsidR="00AA368E" w:rsidRDefault="00AA368E" w:rsidP="00AA368E">
      <w:pPr>
        <w:pStyle w:val="FootnoteText"/>
      </w:pPr>
      <w:r>
        <w:rPr>
          <w:rStyle w:val="FootnoteReference"/>
        </w:rPr>
        <w:footnoteRef/>
      </w:r>
      <w:r>
        <w:t xml:space="preserve"> DIIS (2016) </w:t>
      </w:r>
      <w:r w:rsidRPr="00066926">
        <w:rPr>
          <w:i/>
        </w:rPr>
        <w:t>Au</w:t>
      </w:r>
      <w:r>
        <w:rPr>
          <w:i/>
        </w:rPr>
        <w:t>stralian Innovation System</w:t>
      </w:r>
      <w:r w:rsidRPr="00066926">
        <w:rPr>
          <w:i/>
        </w:rPr>
        <w:t xml:space="preserve"> Report</w:t>
      </w:r>
      <w:r>
        <w:rPr>
          <w:i/>
        </w:rPr>
        <w:t xml:space="preserve"> 2016, </w:t>
      </w:r>
      <w:r w:rsidRPr="00F53C41">
        <w:t>p. 1</w:t>
      </w:r>
      <w:r>
        <w:t>:</w:t>
      </w:r>
      <w:r>
        <w:rPr>
          <w:i/>
        </w:rPr>
        <w:t xml:space="preserve"> </w:t>
      </w:r>
      <w:r>
        <w:t>t</w:t>
      </w:r>
      <w:r w:rsidRPr="00453847">
        <w:t>he Organisation for Economic Co-operation and Development (OECD)</w:t>
      </w:r>
      <w:r>
        <w:t xml:space="preserve"> estimates that</w:t>
      </w:r>
      <w:r w:rsidRPr="00453847">
        <w:t xml:space="preserve"> as much as 50 per cent of long-term economic growth in its member countries can be attributed to innovation, and this contribution is expected to grow.</w:t>
      </w:r>
    </w:p>
  </w:footnote>
  <w:footnote w:id="3">
    <w:p w:rsidR="00AA368E" w:rsidRDefault="00AA368E" w:rsidP="00AA368E">
      <w:pPr>
        <w:pStyle w:val="FootnoteText"/>
      </w:pPr>
      <w:r>
        <w:rPr>
          <w:rStyle w:val="FootnoteReference"/>
        </w:rPr>
        <w:footnoteRef/>
      </w:r>
      <w:r>
        <w:t xml:space="preserve"> </w:t>
      </w:r>
      <w:r w:rsidRPr="00C560F0">
        <w:t>DIIS (2016) Australian Innovation System Report 2016, p</w:t>
      </w:r>
      <w:r>
        <w:t>p</w:t>
      </w:r>
      <w:r w:rsidRPr="00C560F0">
        <w:t xml:space="preserve">. </w:t>
      </w:r>
      <w:r>
        <w:t xml:space="preserve">42 &amp; </w:t>
      </w:r>
      <w:r w:rsidRPr="00C560F0">
        <w:t>45</w:t>
      </w:r>
    </w:p>
  </w:footnote>
  <w:footnote w:id="4">
    <w:p w:rsidR="00AA368E" w:rsidRDefault="00AA368E" w:rsidP="00AA368E">
      <w:pPr>
        <w:pStyle w:val="FootnoteText"/>
      </w:pPr>
      <w:r>
        <w:rPr>
          <w:rStyle w:val="FootnoteReference"/>
        </w:rPr>
        <w:footnoteRef/>
      </w:r>
      <w:r>
        <w:t xml:space="preserve"> DIIS (2016) </w:t>
      </w:r>
      <w:r w:rsidRPr="00066926">
        <w:rPr>
          <w:i/>
        </w:rPr>
        <w:t>Au</w:t>
      </w:r>
      <w:r>
        <w:rPr>
          <w:i/>
        </w:rPr>
        <w:t>stralian Innovation System</w:t>
      </w:r>
      <w:r w:rsidRPr="00066926">
        <w:rPr>
          <w:i/>
        </w:rPr>
        <w:t xml:space="preserve"> Report</w:t>
      </w:r>
      <w:r>
        <w:rPr>
          <w:i/>
        </w:rPr>
        <w:t xml:space="preserve"> 2016,</w:t>
      </w:r>
      <w:r w:rsidRPr="008A787E">
        <w:rPr>
          <w:lang w:val="en-US"/>
        </w:rPr>
        <w:t xml:space="preserve"> p. </w:t>
      </w:r>
      <w:r>
        <w:rPr>
          <w:lang w:val="en-US"/>
        </w:rPr>
        <w:t>25</w:t>
      </w:r>
      <w:r w:rsidRPr="008A787E">
        <w:rPr>
          <w:lang w:val="en-US"/>
        </w:rPr>
        <w:t xml:space="preserve"> (Figure 2.1)</w:t>
      </w:r>
      <w:r>
        <w:rPr>
          <w:lang w:val="en-US"/>
        </w:rPr>
        <w:t>,</w:t>
      </w:r>
      <w:r w:rsidRPr="008A787E">
        <w:rPr>
          <w:lang w:val="en-US"/>
        </w:rPr>
        <w:t xml:space="preserve"> p. 42 (</w:t>
      </w:r>
      <w:r>
        <w:rPr>
          <w:lang w:val="en-US"/>
        </w:rPr>
        <w:t>Table 3.2</w:t>
      </w:r>
      <w:r w:rsidRPr="008A787E">
        <w:rPr>
          <w:lang w:val="en-US"/>
        </w:rPr>
        <w:t>)</w:t>
      </w:r>
      <w:r>
        <w:rPr>
          <w:lang w:val="en-US"/>
        </w:rPr>
        <w:t>, &amp; p. 44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0FE" w:rsidRDefault="007240FE">
    <w:pPr>
      <w:pStyle w:val="Header"/>
    </w:pPr>
  </w:p>
  <w:p w:rsidR="007240FE" w:rsidRDefault="007240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0FE" w:rsidRDefault="007240FE" w:rsidP="007240FE">
    <w:pPr>
      <w:pStyle w:val="Header"/>
      <w:spacing w:after="240"/>
    </w:pPr>
    <w:r w:rsidRPr="00180BF8">
      <w:rPr>
        <w:noProof/>
        <w:lang w:eastAsia="en-AU"/>
      </w:rPr>
      <w:drawing>
        <wp:inline distT="0" distB="0" distL="0" distR="0">
          <wp:extent cx="2448560" cy="727710"/>
          <wp:effectExtent l="0" t="0" r="8890" b="0"/>
          <wp:docPr id="19" name="Picture 19" descr="Australian Government | Department of Industry, Innovation and Science logo&#10;" title="Australian Government | Department of Industry, Innovation and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IS-header-temp.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448560" cy="72771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2C7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9AEB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B4C9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9AE2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AED9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4E19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F053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803066"/>
    <w:lvl w:ilvl="0">
      <w:start w:val="1"/>
      <w:numFmt w:val="bullet"/>
      <w:pStyle w:val="ListBullet2"/>
      <w:lvlText w:val="-"/>
      <w:lvlJc w:val="left"/>
      <w:pPr>
        <w:ind w:left="643" w:hanging="360"/>
      </w:pPr>
      <w:rPr>
        <w:rFonts w:ascii="Courier New" w:hAnsi="Courier New" w:hint="default"/>
        <w:color w:val="005677" w:themeColor="accent1"/>
      </w:rPr>
    </w:lvl>
  </w:abstractNum>
  <w:abstractNum w:abstractNumId="8" w15:restartNumberingAfterBreak="0">
    <w:nsid w:val="FFFFFF88"/>
    <w:multiLevelType w:val="singleLevel"/>
    <w:tmpl w:val="85082DC6"/>
    <w:lvl w:ilvl="0">
      <w:start w:val="1"/>
      <w:numFmt w:val="decimal"/>
      <w:lvlText w:val="%1."/>
      <w:lvlJc w:val="left"/>
      <w:pPr>
        <w:ind w:left="360" w:hanging="360"/>
      </w:pPr>
    </w:lvl>
  </w:abstractNum>
  <w:abstractNum w:abstractNumId="9" w15:restartNumberingAfterBreak="0">
    <w:nsid w:val="FFFFFF89"/>
    <w:multiLevelType w:val="singleLevel"/>
    <w:tmpl w:val="F2D2F078"/>
    <w:lvl w:ilvl="0">
      <w:start w:val="1"/>
      <w:numFmt w:val="bullet"/>
      <w:lvlText w:val=""/>
      <w:lvlJc w:val="left"/>
      <w:pPr>
        <w:ind w:left="360" w:hanging="360"/>
      </w:pPr>
      <w:rPr>
        <w:rFonts w:ascii="Symbol" w:hAnsi="Symbol" w:hint="default"/>
        <w:color w:val="005677" w:themeColor="accent1"/>
      </w:rPr>
    </w:lvl>
  </w:abstractNum>
  <w:abstractNum w:abstractNumId="10" w15:restartNumberingAfterBreak="0">
    <w:nsid w:val="06E47AA5"/>
    <w:multiLevelType w:val="hybridMultilevel"/>
    <w:tmpl w:val="CF2A29F6"/>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1F4E2756"/>
    <w:multiLevelType w:val="hybridMultilevel"/>
    <w:tmpl w:val="85F0EABE"/>
    <w:lvl w:ilvl="0" w:tplc="03B0D284">
      <w:start w:val="1"/>
      <w:numFmt w:val="decimal"/>
      <w:pStyle w:val="ListNumb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4BA2DAB"/>
    <w:multiLevelType w:val="hybridMultilevel"/>
    <w:tmpl w:val="630C32AA"/>
    <w:lvl w:ilvl="0" w:tplc="68E6D72C">
      <w:start w:val="1"/>
      <w:numFmt w:val="bullet"/>
      <w:pStyle w:val="ListBullet"/>
      <w:lvlText w:val=""/>
      <w:lvlJc w:val="left"/>
      <w:pPr>
        <w:ind w:left="720" w:hanging="360"/>
      </w:pPr>
      <w:rPr>
        <w:rFonts w:ascii="Symbol" w:hAnsi="Symbol" w:hint="default"/>
        <w:color w:val="005677" w:themeColor="accent1"/>
      </w:rPr>
    </w:lvl>
    <w:lvl w:ilvl="1" w:tplc="21E8437E">
      <w:start w:val="1"/>
      <w:numFmt w:val="bullet"/>
      <w:lvlText w:val="-"/>
      <w:lvlJc w:val="left"/>
      <w:pPr>
        <w:ind w:left="1440" w:hanging="360"/>
      </w:pPr>
      <w:rPr>
        <w:rFonts w:ascii="Courier New" w:hAnsi="Courier New" w:hint="default"/>
        <w:color w:val="005677" w:themeColor="accent1"/>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5DE65D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0F5458"/>
    <w:multiLevelType w:val="hybridMultilevel"/>
    <w:tmpl w:val="D92042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1003F08"/>
    <w:multiLevelType w:val="hybridMultilevel"/>
    <w:tmpl w:val="8D6E56C6"/>
    <w:lvl w:ilvl="0" w:tplc="19BE00BE">
      <w:start w:val="1"/>
      <w:numFmt w:val="bullet"/>
      <w:pStyle w:val="ListParagraph"/>
      <w:lvlText w:val=""/>
      <w:lvlJc w:val="left"/>
      <w:pPr>
        <w:ind w:left="720" w:hanging="360"/>
      </w:pPr>
      <w:rPr>
        <w:rFonts w:ascii="Symbol" w:hAnsi="Symbol" w:hint="default"/>
        <w:color w:val="005677" w:themeColor="accent1"/>
      </w:rPr>
    </w:lvl>
    <w:lvl w:ilvl="1" w:tplc="21E8437E">
      <w:start w:val="1"/>
      <w:numFmt w:val="bullet"/>
      <w:lvlText w:val="-"/>
      <w:lvlJc w:val="left"/>
      <w:pPr>
        <w:ind w:left="1440" w:hanging="360"/>
      </w:pPr>
      <w:rPr>
        <w:rFonts w:ascii="Courier New" w:hAnsi="Courier New" w:hint="default"/>
        <w:color w:val="005677" w:themeColor="accent1"/>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D6D70A6"/>
    <w:multiLevelType w:val="hybridMultilevel"/>
    <w:tmpl w:val="A77A6E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E0D74A1"/>
    <w:multiLevelType w:val="hybridMultilevel"/>
    <w:tmpl w:val="4B126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99C49BA"/>
    <w:multiLevelType w:val="hybridMultilevel"/>
    <w:tmpl w:val="55CE27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7923192B"/>
    <w:multiLevelType w:val="hybridMultilevel"/>
    <w:tmpl w:val="6390E64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E8D3F15"/>
    <w:multiLevelType w:val="hybridMultilevel"/>
    <w:tmpl w:val="81228A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2"/>
  </w:num>
  <w:num w:numId="15">
    <w:abstractNumId w:val="11"/>
  </w:num>
  <w:num w:numId="16">
    <w:abstractNumId w:val="20"/>
  </w:num>
  <w:num w:numId="17">
    <w:abstractNumId w:val="10"/>
  </w:num>
  <w:num w:numId="18">
    <w:abstractNumId w:val="19"/>
  </w:num>
  <w:num w:numId="19">
    <w:abstractNumId w:val="16"/>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A7B"/>
    <w:rsid w:val="00040232"/>
    <w:rsid w:val="00102550"/>
    <w:rsid w:val="00157609"/>
    <w:rsid w:val="001768A9"/>
    <w:rsid w:val="001A09CA"/>
    <w:rsid w:val="00214F5E"/>
    <w:rsid w:val="00255312"/>
    <w:rsid w:val="002B0CC7"/>
    <w:rsid w:val="003F6AD9"/>
    <w:rsid w:val="004C3712"/>
    <w:rsid w:val="004C6042"/>
    <w:rsid w:val="004D5176"/>
    <w:rsid w:val="004E13B2"/>
    <w:rsid w:val="00527E00"/>
    <w:rsid w:val="00537093"/>
    <w:rsid w:val="005731E5"/>
    <w:rsid w:val="005C2356"/>
    <w:rsid w:val="006302E4"/>
    <w:rsid w:val="00654790"/>
    <w:rsid w:val="007240FE"/>
    <w:rsid w:val="007610DD"/>
    <w:rsid w:val="007D13AC"/>
    <w:rsid w:val="00860A87"/>
    <w:rsid w:val="009040A4"/>
    <w:rsid w:val="0093526D"/>
    <w:rsid w:val="00A23471"/>
    <w:rsid w:val="00AA368E"/>
    <w:rsid w:val="00AA6A43"/>
    <w:rsid w:val="00AE4CAE"/>
    <w:rsid w:val="00B07610"/>
    <w:rsid w:val="00B32E71"/>
    <w:rsid w:val="00B46DBD"/>
    <w:rsid w:val="00B5721A"/>
    <w:rsid w:val="00BF2B33"/>
    <w:rsid w:val="00D86A7B"/>
    <w:rsid w:val="00DE3D00"/>
    <w:rsid w:val="00EE6C16"/>
    <w:rsid w:val="00F56DDC"/>
    <w:rsid w:val="00FB38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1A9F8CB-D8D1-4ABC-BD45-66CDA95CB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C16"/>
    <w:pPr>
      <w:spacing w:before="240" w:after="240" w:line="300" w:lineRule="auto"/>
    </w:pPr>
    <w:rPr>
      <w:rFonts w:ascii="Arial" w:hAnsi="Arial"/>
    </w:rPr>
  </w:style>
  <w:style w:type="paragraph" w:styleId="Heading1">
    <w:name w:val="heading 1"/>
    <w:basedOn w:val="Normal"/>
    <w:next w:val="Normal"/>
    <w:link w:val="Heading1Char"/>
    <w:uiPriority w:val="9"/>
    <w:qFormat/>
    <w:rsid w:val="00EE6C16"/>
    <w:pPr>
      <w:keepNext/>
      <w:keepLines/>
      <w:spacing w:after="0"/>
      <w:outlineLvl w:val="0"/>
    </w:pPr>
    <w:rPr>
      <w:rFonts w:eastAsiaTheme="majorEastAsia" w:cstheme="majorBidi"/>
      <w:color w:val="00283E"/>
      <w:sz w:val="52"/>
      <w:szCs w:val="32"/>
    </w:rPr>
  </w:style>
  <w:style w:type="paragraph" w:styleId="Heading2">
    <w:name w:val="heading 2"/>
    <w:basedOn w:val="Normal"/>
    <w:next w:val="Normal"/>
    <w:link w:val="Heading2Char"/>
    <w:uiPriority w:val="9"/>
    <w:unhideWhenUsed/>
    <w:qFormat/>
    <w:rsid w:val="00EE6C16"/>
    <w:pPr>
      <w:keepNext/>
      <w:keepLines/>
      <w:spacing w:before="40" w:after="0"/>
      <w:outlineLvl w:val="1"/>
    </w:pPr>
    <w:rPr>
      <w:rFonts w:eastAsiaTheme="majorEastAsia" w:cstheme="majorBidi"/>
      <w:color w:val="00283E"/>
      <w:sz w:val="44"/>
      <w:szCs w:val="26"/>
    </w:rPr>
  </w:style>
  <w:style w:type="paragraph" w:styleId="Heading3">
    <w:name w:val="heading 3"/>
    <w:basedOn w:val="Normal"/>
    <w:next w:val="Normal"/>
    <w:link w:val="Heading3Char"/>
    <w:uiPriority w:val="9"/>
    <w:unhideWhenUsed/>
    <w:qFormat/>
    <w:rsid w:val="001768A9"/>
    <w:pPr>
      <w:keepNext/>
      <w:keepLines/>
      <w:spacing w:before="40" w:after="0"/>
      <w:outlineLvl w:val="2"/>
    </w:pPr>
    <w:rPr>
      <w:rFonts w:eastAsiaTheme="majorEastAsia" w:cstheme="majorBidi"/>
      <w:color w:val="00283E"/>
      <w:sz w:val="36"/>
      <w:szCs w:val="24"/>
    </w:rPr>
  </w:style>
  <w:style w:type="paragraph" w:styleId="Heading4">
    <w:name w:val="heading 4"/>
    <w:basedOn w:val="Normal"/>
    <w:next w:val="Normal"/>
    <w:link w:val="Heading4Char"/>
    <w:uiPriority w:val="9"/>
    <w:unhideWhenUsed/>
    <w:qFormat/>
    <w:rsid w:val="001768A9"/>
    <w:pPr>
      <w:keepNext/>
      <w:keepLines/>
      <w:spacing w:before="40" w:after="0"/>
      <w:outlineLvl w:val="3"/>
    </w:pPr>
    <w:rPr>
      <w:rFonts w:eastAsiaTheme="majorEastAsia" w:cstheme="majorBidi"/>
      <w:iCs/>
      <w:color w:val="00283E"/>
      <w:sz w:val="28"/>
    </w:rPr>
  </w:style>
  <w:style w:type="paragraph" w:styleId="Heading5">
    <w:name w:val="heading 5"/>
    <w:basedOn w:val="Normal"/>
    <w:next w:val="Normal"/>
    <w:link w:val="Heading5Char"/>
    <w:uiPriority w:val="9"/>
    <w:unhideWhenUsed/>
    <w:qFormat/>
    <w:rsid w:val="001768A9"/>
    <w:pPr>
      <w:keepNext/>
      <w:keepLines/>
      <w:spacing w:before="40" w:after="0"/>
      <w:outlineLvl w:val="4"/>
    </w:pPr>
    <w:rPr>
      <w:rFonts w:eastAsiaTheme="majorEastAsia" w:cstheme="majorBidi"/>
      <w:b/>
      <w:color w:val="00283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40FE"/>
  </w:style>
  <w:style w:type="paragraph" w:styleId="Footer">
    <w:name w:val="footer"/>
    <w:basedOn w:val="Normal"/>
    <w:link w:val="FooterChar"/>
    <w:uiPriority w:val="99"/>
    <w:unhideWhenUsed/>
    <w:rsid w:val="005C2356"/>
    <w:pPr>
      <w:tabs>
        <w:tab w:val="center" w:pos="4513"/>
        <w:tab w:val="right" w:pos="9026"/>
      </w:tabs>
      <w:spacing w:after="0" w:line="240" w:lineRule="auto"/>
    </w:pPr>
    <w:rPr>
      <w:color w:val="58595B" w:themeColor="text2"/>
      <w:sz w:val="18"/>
    </w:rPr>
  </w:style>
  <w:style w:type="character" w:customStyle="1" w:styleId="FooterChar">
    <w:name w:val="Footer Char"/>
    <w:basedOn w:val="DefaultParagraphFont"/>
    <w:link w:val="Footer"/>
    <w:uiPriority w:val="99"/>
    <w:rsid w:val="005C2356"/>
    <w:rPr>
      <w:rFonts w:ascii="Arial" w:hAnsi="Arial"/>
      <w:color w:val="58595B" w:themeColor="text2"/>
      <w:sz w:val="18"/>
    </w:rPr>
  </w:style>
  <w:style w:type="paragraph" w:styleId="Title">
    <w:name w:val="Title"/>
    <w:basedOn w:val="Normal"/>
    <w:next w:val="Normal"/>
    <w:link w:val="TitleChar"/>
    <w:uiPriority w:val="10"/>
    <w:qFormat/>
    <w:rsid w:val="00EE6C16"/>
    <w:pPr>
      <w:spacing w:before="2880" w:after="480" w:line="240" w:lineRule="auto"/>
      <w:contextualSpacing/>
    </w:pPr>
    <w:rPr>
      <w:rFonts w:eastAsiaTheme="majorEastAsia" w:cstheme="majorBidi"/>
      <w:color w:val="005677"/>
      <w:spacing w:val="-10"/>
      <w:kern w:val="28"/>
      <w:sz w:val="72"/>
      <w:szCs w:val="56"/>
    </w:rPr>
  </w:style>
  <w:style w:type="character" w:customStyle="1" w:styleId="TitleChar">
    <w:name w:val="Title Char"/>
    <w:basedOn w:val="DefaultParagraphFont"/>
    <w:link w:val="Title"/>
    <w:uiPriority w:val="10"/>
    <w:rsid w:val="00EE6C16"/>
    <w:rPr>
      <w:rFonts w:ascii="Arial" w:eastAsiaTheme="majorEastAsia" w:hAnsi="Arial" w:cstheme="majorBidi"/>
      <w:color w:val="005677"/>
      <w:spacing w:val="-10"/>
      <w:kern w:val="28"/>
      <w:sz w:val="72"/>
      <w:szCs w:val="56"/>
    </w:rPr>
  </w:style>
  <w:style w:type="character" w:customStyle="1" w:styleId="Heading1Char">
    <w:name w:val="Heading 1 Char"/>
    <w:basedOn w:val="DefaultParagraphFont"/>
    <w:link w:val="Heading1"/>
    <w:uiPriority w:val="9"/>
    <w:rsid w:val="00EE6C16"/>
    <w:rPr>
      <w:rFonts w:ascii="Arial" w:eastAsiaTheme="majorEastAsia" w:hAnsi="Arial" w:cstheme="majorBidi"/>
      <w:color w:val="00283E"/>
      <w:sz w:val="52"/>
      <w:szCs w:val="32"/>
    </w:rPr>
  </w:style>
  <w:style w:type="character" w:customStyle="1" w:styleId="Heading2Char">
    <w:name w:val="Heading 2 Char"/>
    <w:basedOn w:val="DefaultParagraphFont"/>
    <w:link w:val="Heading2"/>
    <w:uiPriority w:val="9"/>
    <w:rsid w:val="00EE6C16"/>
    <w:rPr>
      <w:rFonts w:ascii="Arial" w:eastAsiaTheme="majorEastAsia" w:hAnsi="Arial" w:cstheme="majorBidi"/>
      <w:color w:val="00283E"/>
      <w:sz w:val="44"/>
      <w:szCs w:val="26"/>
    </w:rPr>
  </w:style>
  <w:style w:type="character" w:customStyle="1" w:styleId="Heading3Char">
    <w:name w:val="Heading 3 Char"/>
    <w:basedOn w:val="DefaultParagraphFont"/>
    <w:link w:val="Heading3"/>
    <w:uiPriority w:val="9"/>
    <w:rsid w:val="001768A9"/>
    <w:rPr>
      <w:rFonts w:ascii="Arial" w:eastAsiaTheme="majorEastAsia" w:hAnsi="Arial" w:cstheme="majorBidi"/>
      <w:color w:val="00283E"/>
      <w:sz w:val="36"/>
      <w:szCs w:val="24"/>
    </w:rPr>
  </w:style>
  <w:style w:type="character" w:customStyle="1" w:styleId="Heading4Char">
    <w:name w:val="Heading 4 Char"/>
    <w:basedOn w:val="DefaultParagraphFont"/>
    <w:link w:val="Heading4"/>
    <w:uiPriority w:val="9"/>
    <w:rsid w:val="001768A9"/>
    <w:rPr>
      <w:rFonts w:ascii="Arial" w:eastAsiaTheme="majorEastAsia" w:hAnsi="Arial" w:cstheme="majorBidi"/>
      <w:iCs/>
      <w:color w:val="00283E"/>
      <w:sz w:val="28"/>
    </w:rPr>
  </w:style>
  <w:style w:type="character" w:customStyle="1" w:styleId="Heading5Char">
    <w:name w:val="Heading 5 Char"/>
    <w:basedOn w:val="DefaultParagraphFont"/>
    <w:link w:val="Heading5"/>
    <w:uiPriority w:val="9"/>
    <w:rsid w:val="001768A9"/>
    <w:rPr>
      <w:rFonts w:ascii="Arial" w:eastAsiaTheme="majorEastAsia" w:hAnsi="Arial" w:cstheme="majorBidi"/>
      <w:b/>
      <w:color w:val="00283E"/>
    </w:rPr>
  </w:style>
  <w:style w:type="paragraph" w:styleId="ListParagraph">
    <w:name w:val="List Paragraph"/>
    <w:basedOn w:val="Normal"/>
    <w:uiPriority w:val="34"/>
    <w:qFormat/>
    <w:rsid w:val="00527E00"/>
    <w:pPr>
      <w:numPr>
        <w:numId w:val="1"/>
      </w:numPr>
      <w:ind w:left="284" w:hanging="284"/>
      <w:contextualSpacing/>
    </w:pPr>
  </w:style>
  <w:style w:type="paragraph" w:styleId="ListBullet">
    <w:name w:val="List Bullet"/>
    <w:basedOn w:val="ListParagraph"/>
    <w:uiPriority w:val="99"/>
    <w:unhideWhenUsed/>
    <w:rsid w:val="00DE3D00"/>
    <w:pPr>
      <w:numPr>
        <w:numId w:val="14"/>
      </w:numPr>
    </w:pPr>
  </w:style>
  <w:style w:type="paragraph" w:styleId="ListBullet2">
    <w:name w:val="List Bullet 2"/>
    <w:basedOn w:val="Normal"/>
    <w:uiPriority w:val="99"/>
    <w:unhideWhenUsed/>
    <w:rsid w:val="00040232"/>
    <w:pPr>
      <w:numPr>
        <w:numId w:val="4"/>
      </w:numPr>
      <w:spacing w:before="120"/>
      <w:ind w:left="641" w:hanging="357"/>
      <w:contextualSpacing/>
    </w:pPr>
  </w:style>
  <w:style w:type="paragraph" w:styleId="ListNumber">
    <w:name w:val="List Number"/>
    <w:basedOn w:val="ListParagraph"/>
    <w:uiPriority w:val="99"/>
    <w:unhideWhenUsed/>
    <w:rsid w:val="00DE3D00"/>
    <w:pPr>
      <w:numPr>
        <w:numId w:val="15"/>
      </w:numPr>
    </w:pPr>
  </w:style>
  <w:style w:type="paragraph" w:styleId="Quote">
    <w:name w:val="Quote"/>
    <w:basedOn w:val="Normal"/>
    <w:next w:val="Normal"/>
    <w:link w:val="QuoteChar"/>
    <w:uiPriority w:val="29"/>
    <w:qFormat/>
    <w:rsid w:val="00AE4CAE"/>
    <w:pPr>
      <w:pBdr>
        <w:top w:val="single" w:sz="4" w:space="1" w:color="58595B" w:themeColor="text2"/>
        <w:bottom w:val="single" w:sz="4" w:space="1" w:color="58595B" w:themeColor="text2"/>
      </w:pBdr>
      <w:spacing w:before="360" w:after="360" w:line="360" w:lineRule="auto"/>
      <w:ind w:left="862" w:right="862"/>
      <w:jc w:val="center"/>
    </w:pPr>
    <w:rPr>
      <w:i/>
      <w:iCs/>
      <w:color w:val="404040" w:themeColor="text1" w:themeTint="BF"/>
    </w:rPr>
  </w:style>
  <w:style w:type="character" w:customStyle="1" w:styleId="QuoteChar">
    <w:name w:val="Quote Char"/>
    <w:basedOn w:val="DefaultParagraphFont"/>
    <w:link w:val="Quote"/>
    <w:uiPriority w:val="29"/>
    <w:rsid w:val="00AE4CAE"/>
    <w:rPr>
      <w:rFonts w:ascii="Arial" w:hAnsi="Arial"/>
      <w:i/>
      <w:iCs/>
      <w:color w:val="404040" w:themeColor="text1" w:themeTint="BF"/>
    </w:rPr>
  </w:style>
  <w:style w:type="character" w:styleId="Hyperlink">
    <w:name w:val="Hyperlink"/>
    <w:basedOn w:val="DefaultParagraphFont"/>
    <w:uiPriority w:val="99"/>
    <w:unhideWhenUsed/>
    <w:rsid w:val="005C2356"/>
    <w:rPr>
      <w:color w:val="0070AE" w:themeColor="accent2" w:themeTint="BF"/>
      <w:u w:val="single"/>
    </w:rPr>
  </w:style>
  <w:style w:type="table" w:styleId="TableGrid">
    <w:name w:val="Table Grid"/>
    <w:basedOn w:val="TableNormal"/>
    <w:uiPriority w:val="39"/>
    <w:rsid w:val="005C2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654790"/>
    <w:pPr>
      <w:spacing w:after="0" w:line="240" w:lineRule="auto"/>
    </w:pPr>
    <w:tblPr>
      <w:tblStyleRowBandSize w:val="1"/>
      <w:tblStyleColBandSize w:val="1"/>
      <w:tblBorders>
        <w:top w:val="single" w:sz="4" w:space="0" w:color="C3E8EC" w:themeColor="accent5" w:themeTint="99"/>
        <w:left w:val="single" w:sz="4" w:space="0" w:color="C3E8EC" w:themeColor="accent5" w:themeTint="99"/>
        <w:bottom w:val="single" w:sz="4" w:space="0" w:color="C3E8EC" w:themeColor="accent5" w:themeTint="99"/>
        <w:right w:val="single" w:sz="4" w:space="0" w:color="C3E8EC" w:themeColor="accent5" w:themeTint="99"/>
        <w:insideH w:val="single" w:sz="4" w:space="0" w:color="C3E8EC" w:themeColor="accent5" w:themeTint="99"/>
        <w:insideV w:val="single" w:sz="4" w:space="0" w:color="C3E8EC" w:themeColor="accent5" w:themeTint="99"/>
      </w:tblBorders>
    </w:tblPr>
    <w:tblStylePr w:type="firstRow">
      <w:rPr>
        <w:b/>
        <w:bCs/>
        <w:color w:val="FFFFFF" w:themeColor="background1"/>
      </w:rPr>
      <w:tblPr/>
      <w:tcPr>
        <w:tcBorders>
          <w:top w:val="single" w:sz="4" w:space="0" w:color="9CD9E0" w:themeColor="accent5"/>
          <w:left w:val="single" w:sz="4" w:space="0" w:color="9CD9E0" w:themeColor="accent5"/>
          <w:bottom w:val="single" w:sz="4" w:space="0" w:color="9CD9E0" w:themeColor="accent5"/>
          <w:right w:val="single" w:sz="4" w:space="0" w:color="9CD9E0" w:themeColor="accent5"/>
          <w:insideH w:val="nil"/>
          <w:insideV w:val="nil"/>
        </w:tcBorders>
        <w:shd w:val="clear" w:color="auto" w:fill="9CD9E0" w:themeFill="accent5"/>
      </w:tcPr>
    </w:tblStylePr>
    <w:tblStylePr w:type="lastRow">
      <w:rPr>
        <w:b/>
        <w:bCs/>
      </w:rPr>
      <w:tblPr/>
      <w:tcPr>
        <w:tcBorders>
          <w:top w:val="double" w:sz="4" w:space="0" w:color="9CD9E0" w:themeColor="accent5"/>
        </w:tcBorders>
      </w:tcPr>
    </w:tblStylePr>
    <w:tblStylePr w:type="firstCol">
      <w:rPr>
        <w:b/>
        <w:bCs/>
      </w:rPr>
    </w:tblStylePr>
    <w:tblStylePr w:type="lastCol">
      <w:rPr>
        <w:b/>
        <w:bCs/>
      </w:rPr>
    </w:tblStylePr>
    <w:tblStylePr w:type="band1Vert">
      <w:tblPr/>
      <w:tcPr>
        <w:shd w:val="clear" w:color="auto" w:fill="EBF7F8" w:themeFill="accent5" w:themeFillTint="33"/>
      </w:tcPr>
    </w:tblStylePr>
    <w:tblStylePr w:type="band1Horz">
      <w:tblPr/>
      <w:tcPr>
        <w:shd w:val="clear" w:color="auto" w:fill="EBF7F8" w:themeFill="accent5" w:themeFillTint="33"/>
      </w:tcPr>
    </w:tblStylePr>
  </w:style>
  <w:style w:type="table" w:styleId="GridTable5Dark-Accent5">
    <w:name w:val="Grid Table 5 Dark Accent 5"/>
    <w:basedOn w:val="TableNormal"/>
    <w:uiPriority w:val="50"/>
    <w:rsid w:val="006547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7F8"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CD9E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CD9E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CD9E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CD9E0" w:themeFill="accent5"/>
      </w:tcPr>
    </w:tblStylePr>
    <w:tblStylePr w:type="band1Vert">
      <w:tblPr/>
      <w:tcPr>
        <w:shd w:val="clear" w:color="auto" w:fill="D7EFF2" w:themeFill="accent5" w:themeFillTint="66"/>
      </w:tcPr>
    </w:tblStylePr>
    <w:tblStylePr w:type="band1Horz">
      <w:tblPr/>
      <w:tcPr>
        <w:shd w:val="clear" w:color="auto" w:fill="D7EFF2" w:themeFill="accent5" w:themeFillTint="66"/>
      </w:tcPr>
    </w:tblStylePr>
  </w:style>
  <w:style w:type="table" w:styleId="GridTable5Dark-Accent1">
    <w:name w:val="Grid Table 5 Dark Accent 1"/>
    <w:basedOn w:val="TableNormal"/>
    <w:uiPriority w:val="50"/>
    <w:rsid w:val="00B07610"/>
    <w:pPr>
      <w:spacing w:after="0" w:line="240" w:lineRule="auto"/>
    </w:pPr>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E9FF" w:themeFill="accent1" w:themeFillTint="33"/>
    </w:tcPr>
    <w:tblStylePr w:type="firstRow">
      <w:pPr>
        <w:wordWrap/>
        <w:spacing w:beforeLines="0" w:before="120" w:beforeAutospacing="0" w:afterLines="0" w:after="120" w:afterAutospacing="0"/>
        <w:jc w:val="center"/>
      </w:pPr>
      <w:rPr>
        <w:rFonts w:ascii="Arial" w:hAnsi="Arial"/>
        <w:b w:val="0"/>
        <w:bCs/>
        <w:color w:val="FFFFFF" w:themeColor="background1"/>
        <w:sz w:val="22"/>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677" w:themeFill="accent1"/>
        <w:vAlign w:val="center"/>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677" w:themeFill="accent1"/>
      </w:tcPr>
    </w:tblStylePr>
    <w:tblStylePr w:type="firstCol">
      <w:pPr>
        <w:jc w:val="left"/>
      </w:pPr>
      <w:rPr>
        <w:rFonts w:ascii="Arial" w:hAnsi="Arial"/>
        <w:b w:val="0"/>
        <w:bCs/>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677" w:themeFill="accent1"/>
        <w:vAlign w:val="center"/>
      </w:tcPr>
    </w:tblStylePr>
    <w:tblStylePr w:type="lastCol">
      <w:pPr>
        <w:wordWrap/>
        <w:jc w:val="center"/>
      </w:pPr>
      <w:rPr>
        <w:rFonts w:ascii="Arial" w:hAnsi="Arial"/>
        <w:b w:val="0"/>
        <w:bCs/>
        <w:color w:val="FFFFFF" w:themeColor="background1"/>
        <w:sz w:val="22"/>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677" w:themeFill="accent1"/>
        <w:vAlign w:val="center"/>
      </w:tcPr>
    </w:tblStylePr>
    <w:tblStylePr w:type="band1Vert">
      <w:tblPr/>
      <w:tcPr>
        <w:shd w:val="clear" w:color="auto" w:fill="62D3FF" w:themeFill="accent1" w:themeFillTint="66"/>
      </w:tcPr>
    </w:tblStylePr>
    <w:tblStylePr w:type="band1Horz">
      <w:pPr>
        <w:jc w:val="center"/>
      </w:pPr>
      <w:tblPr/>
      <w:tcPr>
        <w:shd w:val="clear" w:color="auto" w:fill="62D3FF" w:themeFill="accent1" w:themeFillTint="66"/>
        <w:vAlign w:val="center"/>
      </w:tcPr>
    </w:tblStylePr>
    <w:tblStylePr w:type="band2Horz">
      <w:pPr>
        <w:jc w:val="center"/>
      </w:pPr>
      <w:tblPr/>
      <w:tcPr>
        <w:vAlign w:val="center"/>
      </w:tcPr>
    </w:tblStylePr>
  </w:style>
  <w:style w:type="paragraph" w:styleId="Caption">
    <w:name w:val="caption"/>
    <w:basedOn w:val="Normal"/>
    <w:next w:val="Normal"/>
    <w:uiPriority w:val="35"/>
    <w:unhideWhenUsed/>
    <w:qFormat/>
    <w:rsid w:val="00AE4CAE"/>
    <w:pPr>
      <w:keepNext/>
      <w:spacing w:before="0" w:after="200" w:line="240" w:lineRule="auto"/>
    </w:pPr>
    <w:rPr>
      <w:i/>
      <w:iCs/>
      <w:color w:val="2C2C2D" w:themeColor="text2" w:themeShade="80"/>
      <w:szCs w:val="18"/>
    </w:rPr>
  </w:style>
  <w:style w:type="character" w:styleId="Emphasis">
    <w:name w:val="Emphasis"/>
    <w:basedOn w:val="DefaultParagraphFont"/>
    <w:uiPriority w:val="20"/>
    <w:qFormat/>
    <w:rsid w:val="00DE3D00"/>
    <w:rPr>
      <w:i/>
      <w:iCs/>
    </w:rPr>
  </w:style>
  <w:style w:type="character" w:styleId="Strong">
    <w:name w:val="Strong"/>
    <w:basedOn w:val="DefaultParagraphFont"/>
    <w:uiPriority w:val="22"/>
    <w:qFormat/>
    <w:rsid w:val="00DE3D00"/>
    <w:rPr>
      <w:b/>
      <w:bCs/>
    </w:rPr>
  </w:style>
  <w:style w:type="paragraph" w:styleId="TOCHeading">
    <w:name w:val="TOC Heading"/>
    <w:basedOn w:val="Heading1"/>
    <w:next w:val="Normal"/>
    <w:uiPriority w:val="39"/>
    <w:unhideWhenUsed/>
    <w:qFormat/>
    <w:rsid w:val="00EE6C16"/>
  </w:style>
  <w:style w:type="paragraph" w:styleId="TOC1">
    <w:name w:val="toc 1"/>
    <w:basedOn w:val="Normal"/>
    <w:next w:val="Normal"/>
    <w:autoRedefine/>
    <w:uiPriority w:val="39"/>
    <w:unhideWhenUsed/>
    <w:rsid w:val="00EE6C16"/>
    <w:pPr>
      <w:spacing w:after="100"/>
    </w:pPr>
  </w:style>
  <w:style w:type="paragraph" w:styleId="TOC2">
    <w:name w:val="toc 2"/>
    <w:basedOn w:val="Normal"/>
    <w:next w:val="Normal"/>
    <w:autoRedefine/>
    <w:uiPriority w:val="39"/>
    <w:unhideWhenUsed/>
    <w:rsid w:val="00EE6C16"/>
    <w:pPr>
      <w:spacing w:after="100"/>
      <w:ind w:left="220"/>
    </w:pPr>
  </w:style>
  <w:style w:type="paragraph" w:styleId="TOC3">
    <w:name w:val="toc 3"/>
    <w:basedOn w:val="Normal"/>
    <w:next w:val="Normal"/>
    <w:autoRedefine/>
    <w:uiPriority w:val="39"/>
    <w:unhideWhenUsed/>
    <w:rsid w:val="00EE6C16"/>
    <w:pPr>
      <w:spacing w:after="100"/>
      <w:ind w:left="440"/>
    </w:pPr>
  </w:style>
  <w:style w:type="paragraph" w:styleId="Subtitle">
    <w:name w:val="Subtitle"/>
    <w:basedOn w:val="Title"/>
    <w:next w:val="Normal"/>
    <w:link w:val="SubtitleChar"/>
    <w:uiPriority w:val="11"/>
    <w:qFormat/>
    <w:rsid w:val="00EE6C16"/>
    <w:pPr>
      <w:spacing w:before="240" w:after="240"/>
      <w:contextualSpacing w:val="0"/>
    </w:pPr>
    <w:rPr>
      <w:color w:val="7F7F7F" w:themeColor="text1" w:themeTint="80"/>
      <w:sz w:val="40"/>
    </w:rPr>
  </w:style>
  <w:style w:type="character" w:customStyle="1" w:styleId="SubtitleChar">
    <w:name w:val="Subtitle Char"/>
    <w:basedOn w:val="DefaultParagraphFont"/>
    <w:link w:val="Subtitle"/>
    <w:uiPriority w:val="11"/>
    <w:rsid w:val="00EE6C16"/>
    <w:rPr>
      <w:rFonts w:ascii="Arial" w:eastAsiaTheme="majorEastAsia" w:hAnsi="Arial" w:cstheme="majorBidi"/>
      <w:color w:val="7F7F7F" w:themeColor="text1" w:themeTint="80"/>
      <w:spacing w:val="-10"/>
      <w:kern w:val="28"/>
      <w:sz w:val="40"/>
      <w:szCs w:val="56"/>
    </w:rPr>
  </w:style>
  <w:style w:type="paragraph" w:styleId="FootnoteText">
    <w:name w:val="footnote text"/>
    <w:basedOn w:val="Normal"/>
    <w:link w:val="FootnoteTextChar"/>
    <w:unhideWhenUsed/>
    <w:rsid w:val="00F56DDC"/>
    <w:pPr>
      <w:spacing w:before="0" w:after="0" w:line="240" w:lineRule="auto"/>
    </w:pPr>
    <w:rPr>
      <w:rFonts w:asciiTheme="minorHAnsi" w:hAnsiTheme="minorHAnsi"/>
      <w:sz w:val="20"/>
      <w:szCs w:val="20"/>
    </w:rPr>
  </w:style>
  <w:style w:type="character" w:customStyle="1" w:styleId="FootnoteTextChar">
    <w:name w:val="Footnote Text Char"/>
    <w:basedOn w:val="DefaultParagraphFont"/>
    <w:link w:val="FootnoteText"/>
    <w:rsid w:val="00F56DDC"/>
    <w:rPr>
      <w:sz w:val="20"/>
      <w:szCs w:val="20"/>
    </w:rPr>
  </w:style>
  <w:style w:type="character" w:styleId="FootnoteReference">
    <w:name w:val="footnote reference"/>
    <w:basedOn w:val="DefaultParagraphFont"/>
    <w:unhideWhenUsed/>
    <w:rsid w:val="00F56DDC"/>
    <w:rPr>
      <w:vertAlign w:val="superscript"/>
    </w:rPr>
  </w:style>
  <w:style w:type="paragraph" w:styleId="BalloonText">
    <w:name w:val="Balloon Text"/>
    <w:basedOn w:val="Normal"/>
    <w:link w:val="BalloonTextChar"/>
    <w:uiPriority w:val="99"/>
    <w:semiHidden/>
    <w:unhideWhenUsed/>
    <w:rsid w:val="0025531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3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P.consultation@industry.gov.a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R:\2010%20Templates\Workgroup%20Templates\Departmental\Report.dotx" TargetMode="External"/></Relationships>
</file>

<file path=word/theme/theme1.xml><?xml version="1.0" encoding="utf-8"?>
<a:theme xmlns:a="http://schemas.openxmlformats.org/drawingml/2006/main" name="Office Theme">
  <a:themeElements>
    <a:clrScheme name="Department">
      <a:dk1>
        <a:sysClr val="windowText" lastClr="000000"/>
      </a:dk1>
      <a:lt1>
        <a:sysClr val="window" lastClr="FFFFFF"/>
      </a:lt1>
      <a:dk2>
        <a:srgbClr val="58595B"/>
      </a:dk2>
      <a:lt2>
        <a:srgbClr val="E7E6E6"/>
      </a:lt2>
      <a:accent1>
        <a:srgbClr val="005677"/>
      </a:accent1>
      <a:accent2>
        <a:srgbClr val="00283E"/>
      </a:accent2>
      <a:accent3>
        <a:srgbClr val="1B9590"/>
      </a:accent3>
      <a:accent4>
        <a:srgbClr val="61C6C6"/>
      </a:accent4>
      <a:accent5>
        <a:srgbClr val="9CD9E0"/>
      </a:accent5>
      <a:accent6>
        <a:srgbClr val="C973AF"/>
      </a:accent6>
      <a:hlink>
        <a:srgbClr val="0070C0"/>
      </a:hlink>
      <a:folHlink>
        <a:srgbClr val="7030A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D0040-C362-43FA-9BAD-139F1DBB1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Report.dotx</Template>
  <TotalTime>5</TotalTime>
  <Pages>7</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Report title</vt:lpstr>
    </vt:vector>
  </TitlesOfParts>
  <Company>Department of Industry, Innovation and Science</Company>
  <LinksUpToDate>false</LinksUpToDate>
  <CharactersWithSpaces>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subject/>
  <dc:creator>Francis, Sophie</dc:creator>
  <cp:keywords/>
  <dc:description/>
  <cp:lastModifiedBy>Francis, Sophie</cp:lastModifiedBy>
  <cp:revision>5</cp:revision>
  <cp:lastPrinted>2019-04-25T23:38:00Z</cp:lastPrinted>
  <dcterms:created xsi:type="dcterms:W3CDTF">2019-04-25T23:32:00Z</dcterms:created>
  <dcterms:modified xsi:type="dcterms:W3CDTF">2019-04-25T23:38:00Z</dcterms:modified>
</cp:coreProperties>
</file>