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7AAEBD" w14:textId="1DA1712A" w:rsidR="00536275" w:rsidRPr="00536275" w:rsidRDefault="00536275" w:rsidP="00536275">
      <w:pPr>
        <w:pStyle w:val="Heading2"/>
        <w:jc w:val="center"/>
        <w:rPr>
          <w:sz w:val="20"/>
          <w:szCs w:val="20"/>
        </w:rPr>
      </w:pPr>
      <w:bookmarkStart w:id="0" w:name="_Toc520390590"/>
      <w:bookmarkStart w:id="1" w:name="_Toc520481425"/>
      <w:r w:rsidRPr="00536275">
        <w:rPr>
          <w:noProof/>
          <w:sz w:val="20"/>
          <w:szCs w:val="20"/>
          <w:lang w:eastAsia="en-AU"/>
        </w:rPr>
        <mc:AlternateContent>
          <mc:Choice Requires="wps">
            <w:drawing>
              <wp:anchor distT="45720" distB="45720" distL="114300" distR="114300" simplePos="0" relativeHeight="251659264" behindDoc="0" locked="0" layoutInCell="1" allowOverlap="1" wp14:anchorId="6999233D" wp14:editId="1B9EF7F2">
                <wp:simplePos x="0" y="0"/>
                <wp:positionH relativeFrom="margin">
                  <wp:align>left</wp:align>
                </wp:positionH>
                <wp:positionV relativeFrom="paragraph">
                  <wp:posOffset>222</wp:posOffset>
                </wp:positionV>
                <wp:extent cx="5911215" cy="1404620"/>
                <wp:effectExtent l="0" t="0" r="13335" b="2349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1215" cy="1404620"/>
                        </a:xfrm>
                        <a:prstGeom prst="rect">
                          <a:avLst/>
                        </a:prstGeom>
                        <a:solidFill>
                          <a:schemeClr val="accent1">
                            <a:lumMod val="60000"/>
                            <a:lumOff val="40000"/>
                          </a:schemeClr>
                        </a:solidFill>
                        <a:ln w="9525">
                          <a:solidFill>
                            <a:srgbClr val="000000"/>
                          </a:solidFill>
                          <a:miter lim="800000"/>
                          <a:headEnd/>
                          <a:tailEnd/>
                        </a:ln>
                      </wps:spPr>
                      <wps:txbx>
                        <w:txbxContent>
                          <w:p w14:paraId="17F31F5E" w14:textId="274D8AD9" w:rsidR="00536275" w:rsidRDefault="00536275" w:rsidP="00536275">
                            <w:pPr>
                              <w:pStyle w:val="Heading2"/>
                              <w:jc w:val="center"/>
                            </w:pPr>
                            <w:r>
                              <w:t>Summary – issues and opportunities, potential options and questions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6999233D" id="_x0000_t202" coordsize="21600,21600" o:spt="202" path="m,l,21600r21600,l21600,xe">
                <v:stroke joinstyle="miter"/>
                <v:path gradientshapeok="t" o:connecttype="rect"/>
              </v:shapetype>
              <v:shape id="Text Box 2" o:spid="_x0000_s1026" type="#_x0000_t202" style="position:absolute;left:0;text-align:left;margin-left:0;margin-top:0;width:465.45pt;height:110.6pt;z-index:251659264;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" fillcolor="#9cc2e5 [1940]">
                <v:textbox style="mso-fit-shape-to-text:t">
                  <w:txbxContent>
                    <w:p w14:paraId="17F31F5E" w14:textId="274D8AD9" w:rsidR="00536275" w:rsidRDefault="00536275" w:rsidP="00536275">
                      <w:pPr>
                        <w:pStyle w:val="Heading2"/>
                        <w:jc w:val="center"/>
                      </w:pPr>
                      <w:r>
                        <w:t>Summary – issues and opportunities, potential options and questions</w:t>
                      </w:r>
                    </w:p>
                  </w:txbxContent>
                </v:textbox>
                <w10:wrap type="square" anchorx="margin"/>
              </v:shape>
            </w:pict>
          </mc:Fallback>
        </mc:AlternateContent>
      </w:r>
    </w:p>
    <w:p w14:paraId="24075383" w14:textId="6021D664" w:rsidR="0043766D" w:rsidRPr="00536275" w:rsidRDefault="005607DC" w:rsidP="00536275">
      <w:pPr>
        <w:pStyle w:val="Heading2"/>
      </w:pPr>
      <w:r w:rsidRPr="00536275">
        <w:t xml:space="preserve">1. </w:t>
      </w:r>
      <w:r w:rsidR="00E74407" w:rsidRPr="00536275">
        <w:t>D</w:t>
      </w:r>
      <w:r w:rsidR="0043766D" w:rsidRPr="00536275">
        <w:t>ecommissioning obligations</w:t>
      </w:r>
      <w:bookmarkEnd w:id="0"/>
      <w:bookmarkEnd w:id="1"/>
    </w:p>
    <w:p w14:paraId="481B9E75" w14:textId="782F2875" w:rsidR="0043766D" w:rsidRPr="0043766D" w:rsidRDefault="0043766D" w:rsidP="005607DC">
      <w:pPr>
        <w:pStyle w:val="Heading4"/>
        <w:numPr>
          <w:ilvl w:val="1"/>
          <w:numId w:val="8"/>
        </w:numPr>
        <w:rPr>
          <w:sz w:val="28"/>
          <w:szCs w:val="28"/>
        </w:rPr>
      </w:pPr>
      <w:r w:rsidRPr="0043766D">
        <w:rPr>
          <w:sz w:val="28"/>
          <w:szCs w:val="28"/>
        </w:rPr>
        <w:t>Issues and opportunities</w:t>
      </w:r>
    </w:p>
    <w:p w14:paraId="555F1EC9" w14:textId="5A65DD4A" w:rsidR="00E74407" w:rsidRDefault="005607DC" w:rsidP="005607DC">
      <w:pPr>
        <w:pStyle w:val="Heading5"/>
        <w:numPr>
          <w:ilvl w:val="0"/>
          <w:numId w:val="3"/>
        </w:numPr>
        <w:rPr>
          <w:color w:val="auto"/>
        </w:rPr>
      </w:pPr>
      <w:r w:rsidRPr="005607DC">
        <w:rPr>
          <w:color w:val="auto"/>
        </w:rPr>
        <w:t>1.1.1</w:t>
      </w:r>
      <w:r>
        <w:rPr>
          <w:color w:val="auto"/>
        </w:rPr>
        <w:t xml:space="preserve"> </w:t>
      </w:r>
      <w:r w:rsidR="00E74407" w:rsidRPr="00E74407">
        <w:rPr>
          <w:color w:val="auto"/>
        </w:rPr>
        <w:t xml:space="preserve">Decommissioning obligations only explicitly apply to property </w:t>
      </w:r>
    </w:p>
    <w:p w14:paraId="5BF05F09" w14:textId="50B641B0" w:rsidR="0043766D" w:rsidRPr="00E74407" w:rsidRDefault="005607DC" w:rsidP="00E74407">
      <w:pPr>
        <w:pStyle w:val="Heading5"/>
        <w:numPr>
          <w:ilvl w:val="0"/>
          <w:numId w:val="3"/>
        </w:numPr>
        <w:rPr>
          <w:color w:val="auto"/>
        </w:rPr>
      </w:pPr>
      <w:r w:rsidRPr="005607DC">
        <w:rPr>
          <w:color w:val="auto"/>
        </w:rPr>
        <w:t>1.1.2</w:t>
      </w:r>
      <w:r>
        <w:rPr>
          <w:color w:val="auto"/>
        </w:rPr>
        <w:t xml:space="preserve"> </w:t>
      </w:r>
      <w:r w:rsidR="00E74407" w:rsidRPr="00E74407">
        <w:rPr>
          <w:color w:val="auto"/>
        </w:rPr>
        <w:t xml:space="preserve">Exact decommissioning timeframes </w:t>
      </w:r>
      <w:r w:rsidR="00C00245">
        <w:rPr>
          <w:color w:val="auto"/>
        </w:rPr>
        <w:t xml:space="preserve">are </w:t>
      </w:r>
      <w:r w:rsidR="00E74407" w:rsidRPr="00E74407">
        <w:rPr>
          <w:color w:val="auto"/>
        </w:rPr>
        <w:t>not specified</w:t>
      </w:r>
    </w:p>
    <w:p w14:paraId="241A011F" w14:textId="66E5B135" w:rsidR="00E74407" w:rsidRPr="00E74407" w:rsidRDefault="005607DC" w:rsidP="00E74407">
      <w:pPr>
        <w:pStyle w:val="Heading5"/>
        <w:numPr>
          <w:ilvl w:val="0"/>
          <w:numId w:val="3"/>
        </w:numPr>
        <w:rPr>
          <w:color w:val="auto"/>
        </w:rPr>
      </w:pPr>
      <w:r w:rsidRPr="005607DC">
        <w:rPr>
          <w:color w:val="auto"/>
        </w:rPr>
        <w:t>1.1.3</w:t>
      </w:r>
      <w:r>
        <w:rPr>
          <w:color w:val="auto"/>
        </w:rPr>
        <w:t xml:space="preserve"> </w:t>
      </w:r>
      <w:r w:rsidR="00E74407" w:rsidRPr="00E74407">
        <w:rPr>
          <w:color w:val="auto"/>
        </w:rPr>
        <w:t xml:space="preserve">The consent to surrender requirements only operate at the end of title </w:t>
      </w:r>
    </w:p>
    <w:p w14:paraId="44BE4EBC" w14:textId="06B42F68" w:rsidR="00E74407" w:rsidRPr="00E74407" w:rsidRDefault="005607DC" w:rsidP="00395C3C">
      <w:pPr>
        <w:pStyle w:val="Heading5"/>
        <w:numPr>
          <w:ilvl w:val="0"/>
          <w:numId w:val="3"/>
        </w:numPr>
        <w:rPr>
          <w:color w:val="auto"/>
        </w:rPr>
      </w:pPr>
      <w:r w:rsidRPr="005607DC">
        <w:rPr>
          <w:color w:val="auto"/>
        </w:rPr>
        <w:t xml:space="preserve">1.1.4 </w:t>
      </w:r>
      <w:r w:rsidR="00395C3C" w:rsidRPr="00395C3C">
        <w:rPr>
          <w:color w:val="auto"/>
        </w:rPr>
        <w:t>Aspects of the criteria for consent to surrender are unclear</w:t>
      </w:r>
    </w:p>
    <w:p w14:paraId="41D242CD" w14:textId="4D560E22" w:rsidR="0043766D" w:rsidRPr="0043766D" w:rsidRDefault="005607DC" w:rsidP="00395C3C">
      <w:pPr>
        <w:pStyle w:val="Heading5"/>
        <w:numPr>
          <w:ilvl w:val="0"/>
          <w:numId w:val="3"/>
        </w:numPr>
        <w:rPr>
          <w:color w:val="auto"/>
        </w:rPr>
      </w:pPr>
      <w:r w:rsidRPr="005607DC">
        <w:rPr>
          <w:color w:val="auto"/>
        </w:rPr>
        <w:t>1.1.5</w:t>
      </w:r>
      <w:r>
        <w:rPr>
          <w:color w:val="auto"/>
        </w:rPr>
        <w:t xml:space="preserve"> </w:t>
      </w:r>
      <w:r w:rsidR="00395C3C" w:rsidRPr="00395C3C">
        <w:rPr>
          <w:color w:val="auto"/>
        </w:rPr>
        <w:t>Express decommissioning criteria do not apply to all ways titles or parts of titles can become vacant acreage</w:t>
      </w:r>
    </w:p>
    <w:p w14:paraId="3A597CCD" w14:textId="3EC2312C" w:rsidR="0043766D" w:rsidRPr="0043766D" w:rsidRDefault="005607DC" w:rsidP="0043766D">
      <w:pPr>
        <w:pStyle w:val="Heading4"/>
        <w:rPr>
          <w:sz w:val="28"/>
          <w:szCs w:val="28"/>
        </w:rPr>
      </w:pPr>
      <w:r>
        <w:rPr>
          <w:sz w:val="28"/>
          <w:szCs w:val="28"/>
        </w:rPr>
        <w:t xml:space="preserve">1.2 </w:t>
      </w:r>
      <w:r w:rsidR="0043766D" w:rsidRPr="0043766D">
        <w:rPr>
          <w:sz w:val="28"/>
          <w:szCs w:val="28"/>
        </w:rPr>
        <w:t>Potential options</w:t>
      </w:r>
    </w:p>
    <w:p w14:paraId="1615A582" w14:textId="2AF11CF9" w:rsidR="0043766D" w:rsidRPr="0043766D" w:rsidRDefault="005607DC" w:rsidP="00395C3C">
      <w:pPr>
        <w:pStyle w:val="Heading5"/>
        <w:numPr>
          <w:ilvl w:val="0"/>
          <w:numId w:val="3"/>
        </w:numPr>
        <w:rPr>
          <w:color w:val="auto"/>
        </w:rPr>
      </w:pPr>
      <w:bookmarkStart w:id="2" w:name="Property_removal_option"/>
      <w:r>
        <w:rPr>
          <w:color w:val="auto"/>
        </w:rPr>
        <w:t xml:space="preserve">1.2.1 </w:t>
      </w:r>
      <w:bookmarkEnd w:id="2"/>
      <w:r w:rsidR="00395C3C" w:rsidRPr="00395C3C">
        <w:rPr>
          <w:color w:val="auto"/>
        </w:rPr>
        <w:t>Expressly require property removal or alternative arrangements</w:t>
      </w:r>
    </w:p>
    <w:p w14:paraId="577B2851" w14:textId="0C310B17" w:rsidR="0043766D" w:rsidRDefault="005607DC" w:rsidP="00395C3C">
      <w:pPr>
        <w:pStyle w:val="Heading5"/>
        <w:numPr>
          <w:ilvl w:val="0"/>
          <w:numId w:val="3"/>
        </w:numPr>
        <w:rPr>
          <w:color w:val="auto"/>
        </w:rPr>
      </w:pPr>
      <w:r>
        <w:rPr>
          <w:color w:val="auto"/>
        </w:rPr>
        <w:t xml:space="preserve">1.2.2 </w:t>
      </w:r>
      <w:r w:rsidR="00395C3C" w:rsidRPr="00395C3C">
        <w:rPr>
          <w:color w:val="auto"/>
        </w:rPr>
        <w:t>Apply a timeframe or more precise regulatory trigger for property removal</w:t>
      </w:r>
    </w:p>
    <w:p w14:paraId="49599189" w14:textId="2CB35E6E" w:rsidR="00395C3C" w:rsidRPr="00395C3C" w:rsidRDefault="00395C3C" w:rsidP="00395C3C">
      <w:pPr>
        <w:pStyle w:val="ListParagraph"/>
        <w:numPr>
          <w:ilvl w:val="0"/>
          <w:numId w:val="3"/>
        </w:numPr>
        <w:rPr>
          <w:rFonts w:asciiTheme="majorHAnsi" w:eastAsiaTheme="majorEastAsia" w:hAnsiTheme="majorHAnsi" w:cstheme="majorBidi"/>
        </w:rPr>
      </w:pPr>
      <w:r w:rsidRPr="00395C3C">
        <w:rPr>
          <w:rFonts w:asciiTheme="majorHAnsi" w:eastAsiaTheme="majorEastAsia" w:hAnsiTheme="majorHAnsi" w:cstheme="majorBidi"/>
        </w:rPr>
        <w:t>1.2.3 Insert express decommissioning obligation(s)</w:t>
      </w:r>
    </w:p>
    <w:p w14:paraId="24C38AC0" w14:textId="5602598B" w:rsidR="00395C3C" w:rsidRPr="00395C3C" w:rsidRDefault="0043766D" w:rsidP="00395C3C">
      <w:pPr>
        <w:pStyle w:val="Heading4"/>
        <w:rPr>
          <w:sz w:val="28"/>
          <w:szCs w:val="28"/>
        </w:rPr>
      </w:pPr>
      <w:r w:rsidRPr="0043766D">
        <w:rPr>
          <w:sz w:val="28"/>
          <w:szCs w:val="28"/>
        </w:rPr>
        <w:t>Question</w:t>
      </w:r>
      <w:r>
        <w:rPr>
          <w:sz w:val="28"/>
          <w:szCs w:val="28"/>
        </w:rPr>
        <w:t>s</w:t>
      </w:r>
    </w:p>
    <w:p w14:paraId="20D5E6A1" w14:textId="59134CF8" w:rsidR="0043766D" w:rsidRPr="0043766D" w:rsidRDefault="00395C3C" w:rsidP="00525089">
      <w:pPr>
        <w:pStyle w:val="Heading5"/>
        <w:numPr>
          <w:ilvl w:val="0"/>
          <w:numId w:val="1"/>
        </w:numPr>
        <w:rPr>
          <w:color w:val="auto"/>
        </w:rPr>
      </w:pPr>
      <w:r w:rsidRPr="00395C3C">
        <w:rPr>
          <w:color w:val="auto"/>
        </w:rPr>
        <w:t>Should the property removal obligation be amended to specifically require titleholders to either remove property or make other arrangements that are satisfactory to NOPSEMA? Please articulate why or why not</w:t>
      </w:r>
      <w:r w:rsidR="0043766D" w:rsidRPr="0043766D">
        <w:rPr>
          <w:color w:val="auto"/>
        </w:rPr>
        <w:t>.</w:t>
      </w:r>
    </w:p>
    <w:p w14:paraId="48FD816F" w14:textId="7FE6FD62" w:rsidR="0043766D" w:rsidRPr="0043766D" w:rsidRDefault="00395C3C" w:rsidP="00E74407">
      <w:pPr>
        <w:pStyle w:val="Heading5"/>
        <w:numPr>
          <w:ilvl w:val="0"/>
          <w:numId w:val="6"/>
        </w:numPr>
        <w:rPr>
          <w:color w:val="auto"/>
        </w:rPr>
      </w:pPr>
      <w:r w:rsidRPr="00395C3C">
        <w:rPr>
          <w:color w:val="auto"/>
        </w:rPr>
        <w:t>If yes: What mechanisms do you propose as most effective for seeking acceptance of alternative arrangements, and why?</w:t>
      </w:r>
    </w:p>
    <w:p w14:paraId="405B5C16" w14:textId="3E743180" w:rsidR="0043766D" w:rsidRPr="0043766D" w:rsidRDefault="00395C3C" w:rsidP="0043766D">
      <w:pPr>
        <w:pStyle w:val="Heading5"/>
        <w:numPr>
          <w:ilvl w:val="0"/>
          <w:numId w:val="1"/>
        </w:numPr>
        <w:rPr>
          <w:color w:val="auto"/>
        </w:rPr>
      </w:pPr>
      <w:r w:rsidRPr="00395C3C">
        <w:rPr>
          <w:color w:val="auto"/>
        </w:rPr>
        <w:t>Should timeframes for property removal be mandated? Please articulate why or why not.</w:t>
      </w:r>
    </w:p>
    <w:p w14:paraId="0BE88CE4" w14:textId="5E535280" w:rsidR="0043766D" w:rsidRDefault="00395C3C" w:rsidP="0043766D">
      <w:pPr>
        <w:pStyle w:val="Heading5"/>
        <w:numPr>
          <w:ilvl w:val="0"/>
          <w:numId w:val="6"/>
        </w:numPr>
        <w:rPr>
          <w:color w:val="auto"/>
        </w:rPr>
      </w:pPr>
      <w:r w:rsidRPr="00395C3C">
        <w:rPr>
          <w:color w:val="auto"/>
        </w:rPr>
        <w:t>If yes: At what time(s)? Should it be a legislative or non-legislative trigger?</w:t>
      </w:r>
    </w:p>
    <w:p w14:paraId="424AF271" w14:textId="61EBA9BA" w:rsidR="00525089" w:rsidRDefault="00395C3C" w:rsidP="00525089">
      <w:pPr>
        <w:pStyle w:val="Heading5"/>
        <w:numPr>
          <w:ilvl w:val="0"/>
          <w:numId w:val="6"/>
        </w:numPr>
        <w:rPr>
          <w:color w:val="auto"/>
        </w:rPr>
      </w:pPr>
      <w:r w:rsidRPr="00395C3C">
        <w:rPr>
          <w:color w:val="auto"/>
        </w:rPr>
        <w:t>If no: what is an alternative approach to ensure that decommissioning is undertaken at the appropriate time?</w:t>
      </w:r>
    </w:p>
    <w:p w14:paraId="3EF4A80B" w14:textId="77777777" w:rsidR="00395C3C" w:rsidRPr="00395C3C" w:rsidRDefault="00395C3C" w:rsidP="00395C3C">
      <w:pPr>
        <w:pStyle w:val="Heading5"/>
        <w:numPr>
          <w:ilvl w:val="0"/>
          <w:numId w:val="1"/>
        </w:numPr>
        <w:rPr>
          <w:color w:val="auto"/>
        </w:rPr>
      </w:pPr>
      <w:r w:rsidRPr="00395C3C">
        <w:rPr>
          <w:color w:val="auto"/>
        </w:rPr>
        <w:t>Should a new standalone decommissioning obligation be included within the regime? Please articulate why or why not.</w:t>
      </w:r>
    </w:p>
    <w:p w14:paraId="26DCCAEA" w14:textId="4ADF7208" w:rsidR="00395C3C" w:rsidRDefault="00395C3C" w:rsidP="00395C3C">
      <w:pPr>
        <w:pStyle w:val="Heading5"/>
        <w:numPr>
          <w:ilvl w:val="0"/>
          <w:numId w:val="6"/>
        </w:numPr>
        <w:rPr>
          <w:color w:val="auto"/>
        </w:rPr>
      </w:pPr>
      <w:r w:rsidRPr="00395C3C">
        <w:rPr>
          <w:color w:val="auto"/>
        </w:rPr>
        <w:t>If yes: What would be appropriate decommissioning requirements? What would be an appropriate regulatory trigger for such an obligation? What would be an appropriate penalty or penalties, or what other enforcement actions should be available for non-compliance?</w:t>
      </w:r>
    </w:p>
    <w:p w14:paraId="0776DE41" w14:textId="77777777" w:rsidR="00A11F65" w:rsidRDefault="00A11F65">
      <w:pPr>
        <w:rPr>
          <w:rFonts w:ascii="Arial" w:eastAsiaTheme="majorEastAsia" w:hAnsi="Arial" w:cstheme="majorBidi"/>
          <w:color w:val="00283E"/>
          <w:sz w:val="44"/>
          <w:szCs w:val="26"/>
        </w:rPr>
      </w:pPr>
      <w:r>
        <w:br w:type="page"/>
      </w:r>
    </w:p>
    <w:p w14:paraId="1888CF75" w14:textId="1E7B9E5B" w:rsidR="0043766D" w:rsidRPr="00316410" w:rsidRDefault="005607DC" w:rsidP="00316410">
      <w:pPr>
        <w:pStyle w:val="Heading2"/>
        <w:spacing w:before="360" w:after="120"/>
      </w:pPr>
      <w:r w:rsidRPr="00316410">
        <w:lastRenderedPageBreak/>
        <w:t xml:space="preserve">2. </w:t>
      </w:r>
      <w:r w:rsidR="00E74407" w:rsidRPr="00316410">
        <w:t>I</w:t>
      </w:r>
      <w:r w:rsidR="0043766D" w:rsidRPr="00316410">
        <w:t>nformation available to Government</w:t>
      </w:r>
    </w:p>
    <w:p w14:paraId="538B6A2F" w14:textId="77777777" w:rsidR="0043766D" w:rsidRPr="0043766D" w:rsidRDefault="0043766D" w:rsidP="0043766D">
      <w:pPr>
        <w:pStyle w:val="Heading3"/>
        <w:rPr>
          <w:sz w:val="32"/>
          <w:szCs w:val="32"/>
        </w:rPr>
      </w:pPr>
      <w:bookmarkStart w:id="3" w:name="_Toc520390593"/>
      <w:bookmarkStart w:id="4" w:name="_Toc520481427"/>
      <w:r w:rsidRPr="0043766D">
        <w:rPr>
          <w:sz w:val="32"/>
          <w:szCs w:val="32"/>
        </w:rPr>
        <w:t>Advance and up-to-date planning information</w:t>
      </w:r>
      <w:bookmarkEnd w:id="3"/>
      <w:bookmarkEnd w:id="4"/>
    </w:p>
    <w:p w14:paraId="26756D22" w14:textId="070E46FE" w:rsidR="0043766D" w:rsidRPr="0043766D" w:rsidRDefault="005607DC" w:rsidP="0043766D">
      <w:pPr>
        <w:pStyle w:val="Heading4"/>
        <w:rPr>
          <w:sz w:val="28"/>
          <w:szCs w:val="28"/>
        </w:rPr>
      </w:pPr>
      <w:r>
        <w:rPr>
          <w:sz w:val="28"/>
          <w:szCs w:val="28"/>
        </w:rPr>
        <w:t>2.1 Issue and opportunity</w:t>
      </w:r>
    </w:p>
    <w:p w14:paraId="0B11343B" w14:textId="6351723E" w:rsidR="00E74407" w:rsidRPr="00E74407" w:rsidRDefault="005607DC" w:rsidP="00395C3C">
      <w:pPr>
        <w:pStyle w:val="Heading5"/>
        <w:numPr>
          <w:ilvl w:val="0"/>
          <w:numId w:val="3"/>
        </w:numPr>
        <w:rPr>
          <w:color w:val="auto"/>
        </w:rPr>
      </w:pPr>
      <w:r>
        <w:rPr>
          <w:color w:val="auto"/>
        </w:rPr>
        <w:t xml:space="preserve">2.1.1 </w:t>
      </w:r>
      <w:r w:rsidR="00395C3C" w:rsidRPr="00395C3C">
        <w:rPr>
          <w:color w:val="auto"/>
        </w:rPr>
        <w:t>No requirement for advance decommissioning planning and up to-date information on infrastructure</w:t>
      </w:r>
      <w:r w:rsidR="00E74407" w:rsidRPr="00E74407">
        <w:rPr>
          <w:color w:val="auto"/>
        </w:rPr>
        <w:t xml:space="preserve"> </w:t>
      </w:r>
    </w:p>
    <w:p w14:paraId="50677186" w14:textId="50C34333" w:rsidR="002338CC" w:rsidRPr="0043766D" w:rsidRDefault="005607DC" w:rsidP="00E74407">
      <w:pPr>
        <w:pStyle w:val="Heading5"/>
        <w:rPr>
          <w:sz w:val="28"/>
          <w:szCs w:val="28"/>
        </w:rPr>
      </w:pPr>
      <w:r>
        <w:rPr>
          <w:sz w:val="28"/>
          <w:szCs w:val="28"/>
        </w:rPr>
        <w:t xml:space="preserve">2.2 </w:t>
      </w:r>
      <w:r w:rsidR="002338CC" w:rsidRPr="0043766D">
        <w:rPr>
          <w:sz w:val="28"/>
          <w:szCs w:val="28"/>
        </w:rPr>
        <w:t>Potential options</w:t>
      </w:r>
    </w:p>
    <w:p w14:paraId="2B7B0F01" w14:textId="582AB2FD" w:rsidR="002338CC" w:rsidRPr="002338CC" w:rsidRDefault="005607DC" w:rsidP="00395C3C">
      <w:pPr>
        <w:pStyle w:val="Heading5"/>
        <w:numPr>
          <w:ilvl w:val="0"/>
          <w:numId w:val="3"/>
        </w:numPr>
        <w:rPr>
          <w:color w:val="auto"/>
        </w:rPr>
      </w:pPr>
      <w:r>
        <w:rPr>
          <w:color w:val="auto"/>
        </w:rPr>
        <w:t xml:space="preserve">2.2.1 </w:t>
      </w:r>
      <w:r w:rsidR="00395C3C" w:rsidRPr="00395C3C">
        <w:rPr>
          <w:color w:val="auto"/>
        </w:rPr>
        <w:t>Require additional decommissioning information in environment plans</w:t>
      </w:r>
    </w:p>
    <w:p w14:paraId="2AFB645E" w14:textId="11E003A4" w:rsidR="002338CC" w:rsidRPr="002338CC" w:rsidRDefault="005607DC" w:rsidP="002338CC">
      <w:pPr>
        <w:pStyle w:val="Heading5"/>
        <w:numPr>
          <w:ilvl w:val="0"/>
          <w:numId w:val="3"/>
        </w:numPr>
        <w:rPr>
          <w:color w:val="auto"/>
        </w:rPr>
      </w:pPr>
      <w:r>
        <w:rPr>
          <w:color w:val="auto"/>
        </w:rPr>
        <w:t xml:space="preserve">2.2.2 </w:t>
      </w:r>
      <w:r w:rsidR="002338CC" w:rsidRPr="002338CC">
        <w:rPr>
          <w:color w:val="auto"/>
        </w:rPr>
        <w:t>Require a stand-alone decommissioning plan</w:t>
      </w:r>
    </w:p>
    <w:p w14:paraId="09463D2C" w14:textId="6556C2B8" w:rsidR="002338CC" w:rsidRDefault="005607DC" w:rsidP="002338CC">
      <w:pPr>
        <w:pStyle w:val="Heading5"/>
        <w:numPr>
          <w:ilvl w:val="0"/>
          <w:numId w:val="3"/>
        </w:numPr>
        <w:rPr>
          <w:color w:val="auto"/>
        </w:rPr>
      </w:pPr>
      <w:r>
        <w:rPr>
          <w:color w:val="auto"/>
        </w:rPr>
        <w:t xml:space="preserve">2.2.3 </w:t>
      </w:r>
      <w:r w:rsidR="002338CC" w:rsidRPr="002338CC">
        <w:rPr>
          <w:color w:val="auto"/>
        </w:rPr>
        <w:t>Require a regular inventory of infrastructure</w:t>
      </w:r>
    </w:p>
    <w:p w14:paraId="07685989" w14:textId="77777777" w:rsidR="00E74407" w:rsidRPr="002338CC" w:rsidRDefault="00E74407" w:rsidP="00E74407">
      <w:pPr>
        <w:pStyle w:val="Heading4"/>
        <w:rPr>
          <w:sz w:val="28"/>
          <w:szCs w:val="28"/>
        </w:rPr>
      </w:pPr>
      <w:r w:rsidRPr="0043766D">
        <w:rPr>
          <w:sz w:val="28"/>
          <w:szCs w:val="28"/>
        </w:rPr>
        <w:t>Question</w:t>
      </w:r>
      <w:r>
        <w:rPr>
          <w:sz w:val="28"/>
          <w:szCs w:val="28"/>
        </w:rPr>
        <w:t>s</w:t>
      </w:r>
    </w:p>
    <w:p w14:paraId="62477E3F" w14:textId="77777777" w:rsidR="00395C3C" w:rsidRPr="00395C3C" w:rsidRDefault="00395C3C" w:rsidP="00395C3C">
      <w:pPr>
        <w:pStyle w:val="Heading5"/>
        <w:numPr>
          <w:ilvl w:val="0"/>
          <w:numId w:val="1"/>
        </w:numPr>
        <w:rPr>
          <w:color w:val="auto"/>
        </w:rPr>
      </w:pPr>
      <w:r w:rsidRPr="00395C3C">
        <w:rPr>
          <w:color w:val="auto"/>
        </w:rPr>
        <w:t>Should titleholders be required to inform government of their overarching plans for decommissioning? Please articulate why or why not.</w:t>
      </w:r>
    </w:p>
    <w:p w14:paraId="6BC3307E" w14:textId="77777777" w:rsidR="00395C3C" w:rsidRPr="00395C3C" w:rsidRDefault="00395C3C" w:rsidP="00395C3C">
      <w:pPr>
        <w:pStyle w:val="Heading5"/>
        <w:numPr>
          <w:ilvl w:val="0"/>
          <w:numId w:val="6"/>
        </w:numPr>
        <w:rPr>
          <w:color w:val="auto"/>
        </w:rPr>
      </w:pPr>
      <w:r w:rsidRPr="00395C3C">
        <w:rPr>
          <w:color w:val="auto"/>
        </w:rPr>
        <w:t>If yes: At what time(s) should this occur? What is the most appropriate method?</w:t>
      </w:r>
    </w:p>
    <w:p w14:paraId="3A284A69" w14:textId="77777777" w:rsidR="00395C3C" w:rsidRPr="00395C3C" w:rsidRDefault="00395C3C" w:rsidP="00395C3C">
      <w:pPr>
        <w:pStyle w:val="Heading5"/>
        <w:numPr>
          <w:ilvl w:val="0"/>
          <w:numId w:val="1"/>
        </w:numPr>
        <w:rPr>
          <w:color w:val="auto"/>
        </w:rPr>
      </w:pPr>
      <w:r w:rsidRPr="00395C3C">
        <w:rPr>
          <w:color w:val="auto"/>
        </w:rPr>
        <w:t>Should titleholders be required to periodically update government about decommissioning-related information, including an inventory of infrastructure and its status, and a progress report on decommissioning items of infrastructure? Please articulate why or why not.</w:t>
      </w:r>
    </w:p>
    <w:p w14:paraId="2DF3A218" w14:textId="36BB62B4" w:rsidR="00395C3C" w:rsidRDefault="00395C3C" w:rsidP="00395C3C">
      <w:pPr>
        <w:pStyle w:val="Heading5"/>
        <w:numPr>
          <w:ilvl w:val="0"/>
          <w:numId w:val="6"/>
        </w:numPr>
        <w:rPr>
          <w:color w:val="auto"/>
        </w:rPr>
      </w:pPr>
      <w:r w:rsidRPr="00395C3C">
        <w:rPr>
          <w:color w:val="auto"/>
        </w:rPr>
        <w:t>If yes: What information should be required and when should it be required?</w:t>
      </w:r>
    </w:p>
    <w:p w14:paraId="4730C9D7" w14:textId="07CF5399" w:rsidR="00E74407" w:rsidRPr="0043766D" w:rsidRDefault="00E74407" w:rsidP="00E74407">
      <w:pPr>
        <w:pStyle w:val="Heading3"/>
        <w:rPr>
          <w:sz w:val="32"/>
          <w:szCs w:val="32"/>
        </w:rPr>
      </w:pPr>
      <w:r>
        <w:rPr>
          <w:sz w:val="32"/>
          <w:szCs w:val="32"/>
        </w:rPr>
        <w:t>Close-out reporting</w:t>
      </w:r>
    </w:p>
    <w:p w14:paraId="35BC252F" w14:textId="786DF686" w:rsidR="00E74407" w:rsidRPr="0043766D" w:rsidRDefault="005607DC" w:rsidP="00E74407">
      <w:pPr>
        <w:pStyle w:val="Heading4"/>
        <w:rPr>
          <w:sz w:val="28"/>
          <w:szCs w:val="28"/>
        </w:rPr>
      </w:pPr>
      <w:r>
        <w:rPr>
          <w:sz w:val="28"/>
          <w:szCs w:val="28"/>
        </w:rPr>
        <w:t>2.3 Issue and opportunity</w:t>
      </w:r>
    </w:p>
    <w:p w14:paraId="0DEB3B04" w14:textId="3E592D56" w:rsidR="00E74407" w:rsidRPr="00E74407" w:rsidRDefault="005607DC" w:rsidP="00395C3C">
      <w:pPr>
        <w:pStyle w:val="Heading5"/>
        <w:numPr>
          <w:ilvl w:val="0"/>
          <w:numId w:val="3"/>
        </w:numPr>
        <w:rPr>
          <w:color w:val="auto"/>
        </w:rPr>
      </w:pPr>
      <w:r>
        <w:rPr>
          <w:color w:val="auto"/>
        </w:rPr>
        <w:t xml:space="preserve">2.3.1 </w:t>
      </w:r>
      <w:r w:rsidR="00395C3C" w:rsidRPr="00395C3C">
        <w:rPr>
          <w:color w:val="auto"/>
        </w:rPr>
        <w:t>Decommissioning-related environmental close-out reporting not required</w:t>
      </w:r>
    </w:p>
    <w:p w14:paraId="1443D21C" w14:textId="178270C0" w:rsidR="00E74407" w:rsidRPr="0043766D" w:rsidRDefault="005607DC" w:rsidP="00E74407">
      <w:pPr>
        <w:pStyle w:val="Heading5"/>
        <w:rPr>
          <w:sz w:val="28"/>
          <w:szCs w:val="28"/>
        </w:rPr>
      </w:pPr>
      <w:r>
        <w:rPr>
          <w:sz w:val="28"/>
          <w:szCs w:val="28"/>
        </w:rPr>
        <w:t xml:space="preserve">2.4 </w:t>
      </w:r>
      <w:r w:rsidR="00E74407" w:rsidRPr="0043766D">
        <w:rPr>
          <w:sz w:val="28"/>
          <w:szCs w:val="28"/>
        </w:rPr>
        <w:t>Potential options</w:t>
      </w:r>
    </w:p>
    <w:p w14:paraId="66A57E59" w14:textId="06F28209" w:rsidR="002338CC" w:rsidRPr="002338CC" w:rsidRDefault="005607DC" w:rsidP="002338CC">
      <w:pPr>
        <w:pStyle w:val="Heading5"/>
        <w:numPr>
          <w:ilvl w:val="0"/>
          <w:numId w:val="3"/>
        </w:numPr>
        <w:rPr>
          <w:color w:val="auto"/>
        </w:rPr>
      </w:pPr>
      <w:r>
        <w:rPr>
          <w:color w:val="auto"/>
        </w:rPr>
        <w:t xml:space="preserve">2.4.1 </w:t>
      </w:r>
      <w:r w:rsidR="002338CC" w:rsidRPr="002338CC">
        <w:rPr>
          <w:color w:val="auto"/>
        </w:rPr>
        <w:t>Implement an environmental ‘close-out’ report</w:t>
      </w:r>
    </w:p>
    <w:p w14:paraId="474457CA" w14:textId="77777777" w:rsidR="002338CC" w:rsidRPr="002338CC" w:rsidRDefault="0043766D" w:rsidP="002338CC">
      <w:pPr>
        <w:pStyle w:val="Heading4"/>
        <w:rPr>
          <w:sz w:val="28"/>
          <w:szCs w:val="28"/>
        </w:rPr>
      </w:pPr>
      <w:r w:rsidRPr="0043766D">
        <w:rPr>
          <w:sz w:val="28"/>
          <w:szCs w:val="28"/>
        </w:rPr>
        <w:t>Question</w:t>
      </w:r>
      <w:r>
        <w:rPr>
          <w:sz w:val="28"/>
          <w:szCs w:val="28"/>
        </w:rPr>
        <w:t>s</w:t>
      </w:r>
    </w:p>
    <w:p w14:paraId="05A5A2F9" w14:textId="2BC45DC9" w:rsidR="0043766D" w:rsidRPr="002338CC" w:rsidRDefault="00395C3C" w:rsidP="00395C3C">
      <w:pPr>
        <w:pStyle w:val="Heading5"/>
        <w:numPr>
          <w:ilvl w:val="0"/>
          <w:numId w:val="1"/>
        </w:numPr>
        <w:rPr>
          <w:color w:val="auto"/>
        </w:rPr>
      </w:pPr>
      <w:r w:rsidRPr="00395C3C">
        <w:rPr>
          <w:color w:val="auto"/>
        </w:rPr>
        <w:t>Should titleholders be required to submit ‘close-out’ reporting after decommissioning? Please articulate why or why not</w:t>
      </w:r>
      <w:r w:rsidR="002338CC" w:rsidRPr="002338CC">
        <w:rPr>
          <w:color w:val="auto"/>
        </w:rPr>
        <w:t>.</w:t>
      </w:r>
    </w:p>
    <w:p w14:paraId="3E69DE15" w14:textId="36D16279" w:rsidR="0043766D" w:rsidRDefault="0043766D" w:rsidP="00395C3C">
      <w:pPr>
        <w:pStyle w:val="Heading5"/>
        <w:numPr>
          <w:ilvl w:val="0"/>
          <w:numId w:val="6"/>
        </w:numPr>
        <w:rPr>
          <w:color w:val="auto"/>
        </w:rPr>
      </w:pPr>
      <w:r w:rsidRPr="002338CC">
        <w:rPr>
          <w:color w:val="auto"/>
        </w:rPr>
        <w:t xml:space="preserve">If yes: </w:t>
      </w:r>
      <w:r w:rsidR="00395C3C" w:rsidRPr="00395C3C">
        <w:rPr>
          <w:color w:val="auto"/>
        </w:rPr>
        <w:t>What content should be included in the reporting? When should the reporting be required? Should the reporting be made publicly available</w:t>
      </w:r>
      <w:r w:rsidRPr="002338CC">
        <w:rPr>
          <w:color w:val="auto"/>
        </w:rPr>
        <w:t>?</w:t>
      </w:r>
    </w:p>
    <w:p w14:paraId="527CCD77" w14:textId="77777777" w:rsidR="00A11F65" w:rsidRDefault="00A11F65">
      <w:pPr>
        <w:rPr>
          <w:rFonts w:ascii="Arial" w:eastAsiaTheme="majorEastAsia" w:hAnsi="Arial" w:cstheme="majorBidi"/>
          <w:color w:val="00283E"/>
          <w:sz w:val="44"/>
          <w:szCs w:val="26"/>
        </w:rPr>
      </w:pPr>
      <w:r>
        <w:br w:type="page"/>
      </w:r>
    </w:p>
    <w:p w14:paraId="1CAB144F" w14:textId="5BD9ED98" w:rsidR="002338CC" w:rsidRPr="00316410" w:rsidRDefault="005607DC" w:rsidP="00316410">
      <w:pPr>
        <w:pStyle w:val="Heading2"/>
        <w:spacing w:before="360" w:after="120"/>
      </w:pPr>
      <w:r w:rsidRPr="00316410">
        <w:lastRenderedPageBreak/>
        <w:t xml:space="preserve">3. </w:t>
      </w:r>
      <w:r w:rsidR="00E74407" w:rsidRPr="00316410">
        <w:t>Legal</w:t>
      </w:r>
      <w:r w:rsidR="002338CC" w:rsidRPr="00316410">
        <w:t xml:space="preserve"> responsibility  </w:t>
      </w:r>
    </w:p>
    <w:p w14:paraId="06CDA27A" w14:textId="0AD8AFF8" w:rsidR="00E74407" w:rsidRPr="00C6612E" w:rsidRDefault="00E74407" w:rsidP="00E74407">
      <w:pPr>
        <w:pStyle w:val="Heading3"/>
        <w:rPr>
          <w:sz w:val="32"/>
          <w:szCs w:val="32"/>
        </w:rPr>
      </w:pPr>
      <w:bookmarkStart w:id="5" w:name="_Toc520991888"/>
      <w:bookmarkStart w:id="6" w:name="_Toc520998340"/>
      <w:bookmarkStart w:id="7" w:name="_Toc521077500"/>
      <w:bookmarkStart w:id="8" w:name="_Toc521405184"/>
      <w:r w:rsidRPr="00C6612E">
        <w:rPr>
          <w:sz w:val="32"/>
          <w:szCs w:val="32"/>
        </w:rPr>
        <w:t>Statutory responsibility for undertaking decommissioning</w:t>
      </w:r>
      <w:bookmarkEnd w:id="5"/>
      <w:bookmarkEnd w:id="6"/>
      <w:bookmarkEnd w:id="7"/>
      <w:bookmarkEnd w:id="8"/>
    </w:p>
    <w:p w14:paraId="13BA5C9F" w14:textId="7F6BCBF7" w:rsidR="005607DC" w:rsidRPr="0043766D" w:rsidRDefault="005607DC" w:rsidP="005607DC">
      <w:pPr>
        <w:pStyle w:val="Heading4"/>
        <w:rPr>
          <w:sz w:val="28"/>
          <w:szCs w:val="28"/>
        </w:rPr>
      </w:pPr>
      <w:r>
        <w:rPr>
          <w:sz w:val="28"/>
          <w:szCs w:val="28"/>
        </w:rPr>
        <w:t xml:space="preserve">3.1 </w:t>
      </w:r>
      <w:r w:rsidRPr="0043766D">
        <w:rPr>
          <w:sz w:val="28"/>
          <w:szCs w:val="28"/>
        </w:rPr>
        <w:t>Issues and opportunities</w:t>
      </w:r>
    </w:p>
    <w:p w14:paraId="6A5A7C5B" w14:textId="14A132A6" w:rsidR="005607DC" w:rsidRPr="005607DC" w:rsidRDefault="005607DC" w:rsidP="00395C3C">
      <w:pPr>
        <w:pStyle w:val="Heading5"/>
        <w:numPr>
          <w:ilvl w:val="0"/>
          <w:numId w:val="3"/>
        </w:numPr>
        <w:rPr>
          <w:color w:val="auto"/>
        </w:rPr>
      </w:pPr>
      <w:r w:rsidRPr="005607DC">
        <w:rPr>
          <w:color w:val="auto"/>
        </w:rPr>
        <w:t xml:space="preserve">3.1.1 </w:t>
      </w:r>
      <w:r w:rsidR="00395C3C" w:rsidRPr="00395C3C">
        <w:rPr>
          <w:color w:val="auto"/>
        </w:rPr>
        <w:t>Statutory responsibility for undertaking decommissioning not explicitly stated</w:t>
      </w:r>
    </w:p>
    <w:p w14:paraId="79E70A8E" w14:textId="6FE06E58" w:rsidR="002338CC" w:rsidRPr="0043766D" w:rsidRDefault="005607DC" w:rsidP="002338CC">
      <w:pPr>
        <w:pStyle w:val="Heading4"/>
        <w:rPr>
          <w:sz w:val="28"/>
          <w:szCs w:val="28"/>
        </w:rPr>
      </w:pPr>
      <w:r>
        <w:rPr>
          <w:sz w:val="28"/>
          <w:szCs w:val="28"/>
        </w:rPr>
        <w:t xml:space="preserve">3.2 </w:t>
      </w:r>
      <w:r w:rsidR="002338CC" w:rsidRPr="0043766D">
        <w:rPr>
          <w:sz w:val="28"/>
          <w:szCs w:val="28"/>
        </w:rPr>
        <w:t>Potential options</w:t>
      </w:r>
    </w:p>
    <w:p w14:paraId="0135FD31" w14:textId="027B5EC3" w:rsidR="005607DC" w:rsidRDefault="005607DC" w:rsidP="00833885">
      <w:pPr>
        <w:pStyle w:val="Heading5"/>
        <w:numPr>
          <w:ilvl w:val="0"/>
          <w:numId w:val="3"/>
        </w:numPr>
        <w:rPr>
          <w:color w:val="auto"/>
        </w:rPr>
      </w:pPr>
      <w:r w:rsidRPr="005607DC">
        <w:rPr>
          <w:color w:val="auto"/>
        </w:rPr>
        <w:t xml:space="preserve">3.2.1 </w:t>
      </w:r>
      <w:r w:rsidR="00833885" w:rsidRPr="00833885">
        <w:rPr>
          <w:color w:val="auto"/>
        </w:rPr>
        <w:t>Clarify legal responsibility for decommissioning</w:t>
      </w:r>
    </w:p>
    <w:p w14:paraId="36D8AE01" w14:textId="15B51E01" w:rsidR="005607DC" w:rsidRDefault="005607DC" w:rsidP="00833885">
      <w:pPr>
        <w:pStyle w:val="Heading5"/>
        <w:numPr>
          <w:ilvl w:val="0"/>
          <w:numId w:val="3"/>
        </w:numPr>
        <w:rPr>
          <w:color w:val="auto"/>
        </w:rPr>
      </w:pPr>
      <w:r w:rsidRPr="005607DC">
        <w:rPr>
          <w:color w:val="auto"/>
        </w:rPr>
        <w:t xml:space="preserve">3.2.2 </w:t>
      </w:r>
      <w:r w:rsidR="00833885" w:rsidRPr="00833885">
        <w:rPr>
          <w:color w:val="auto"/>
        </w:rPr>
        <w:t>Provide for alternative liability arrangements</w:t>
      </w:r>
    </w:p>
    <w:p w14:paraId="5C5ECEF0" w14:textId="77777777" w:rsidR="005607DC" w:rsidRPr="0043766D" w:rsidRDefault="005607DC" w:rsidP="005607DC">
      <w:pPr>
        <w:pStyle w:val="Heading4"/>
        <w:rPr>
          <w:sz w:val="28"/>
          <w:szCs w:val="28"/>
        </w:rPr>
      </w:pPr>
      <w:r w:rsidRPr="0043766D">
        <w:rPr>
          <w:sz w:val="28"/>
          <w:szCs w:val="28"/>
        </w:rPr>
        <w:t>Question</w:t>
      </w:r>
      <w:r>
        <w:rPr>
          <w:sz w:val="28"/>
          <w:szCs w:val="28"/>
        </w:rPr>
        <w:t>s</w:t>
      </w:r>
    </w:p>
    <w:p w14:paraId="4D8B56BB" w14:textId="77777777" w:rsidR="00833885" w:rsidRPr="00833885" w:rsidRDefault="00833885" w:rsidP="00833885">
      <w:pPr>
        <w:pStyle w:val="Heading5"/>
        <w:numPr>
          <w:ilvl w:val="0"/>
          <w:numId w:val="1"/>
        </w:numPr>
        <w:rPr>
          <w:color w:val="auto"/>
        </w:rPr>
      </w:pPr>
      <w:r w:rsidRPr="00833885">
        <w:rPr>
          <w:color w:val="auto"/>
        </w:rPr>
        <w:t>Should current titleholders be made expressly (in the OPGGS Act) liable for the costs of carrying out their decommissioning obligations? Please articulate why or why not.</w:t>
      </w:r>
    </w:p>
    <w:p w14:paraId="758B256A" w14:textId="77777777" w:rsidR="00833885" w:rsidRPr="00833885" w:rsidRDefault="00833885" w:rsidP="00833885">
      <w:pPr>
        <w:pStyle w:val="Heading5"/>
        <w:numPr>
          <w:ilvl w:val="0"/>
          <w:numId w:val="6"/>
        </w:numPr>
        <w:rPr>
          <w:color w:val="auto"/>
        </w:rPr>
      </w:pPr>
      <w:r w:rsidRPr="00833885">
        <w:rPr>
          <w:color w:val="auto"/>
        </w:rPr>
        <w:t>If yes: Are there any responsibilities that should be excluded?</w:t>
      </w:r>
    </w:p>
    <w:p w14:paraId="76273968" w14:textId="77777777" w:rsidR="00833885" w:rsidRPr="00833885" w:rsidRDefault="00833885" w:rsidP="00833885">
      <w:pPr>
        <w:pStyle w:val="Heading5"/>
        <w:numPr>
          <w:ilvl w:val="0"/>
          <w:numId w:val="1"/>
        </w:numPr>
        <w:rPr>
          <w:color w:val="auto"/>
        </w:rPr>
      </w:pPr>
      <w:r w:rsidRPr="00833885">
        <w:rPr>
          <w:color w:val="auto"/>
        </w:rPr>
        <w:t>Should alternative liability arrangements be included in a revised framework, providing government with the ability to pursue previous titleholders in the chain of ownership if the current titleholder is unwilling or unable to decommission? Please articulate why or why not.</w:t>
      </w:r>
    </w:p>
    <w:p w14:paraId="03F9DDFE" w14:textId="59D24C2E" w:rsidR="00833885" w:rsidRDefault="00833885" w:rsidP="00833885">
      <w:pPr>
        <w:pStyle w:val="Heading5"/>
        <w:numPr>
          <w:ilvl w:val="0"/>
          <w:numId w:val="6"/>
        </w:numPr>
        <w:rPr>
          <w:color w:val="auto"/>
        </w:rPr>
      </w:pPr>
      <w:r w:rsidRPr="00833885">
        <w:rPr>
          <w:color w:val="auto"/>
        </w:rPr>
        <w:t>If yes: Should this be implemented retrospectively or only prospectively?</w:t>
      </w:r>
    </w:p>
    <w:p w14:paraId="568581F4" w14:textId="796C1ACE" w:rsidR="005607DC" w:rsidRPr="00C6612E" w:rsidRDefault="005607DC" w:rsidP="005607DC">
      <w:pPr>
        <w:pStyle w:val="Heading3"/>
        <w:rPr>
          <w:sz w:val="32"/>
          <w:szCs w:val="32"/>
        </w:rPr>
      </w:pPr>
      <w:r w:rsidRPr="00C6612E">
        <w:rPr>
          <w:sz w:val="32"/>
          <w:szCs w:val="32"/>
        </w:rPr>
        <w:t>Ongoing/lon</w:t>
      </w:r>
      <w:bookmarkStart w:id="9" w:name="_Toc455501038"/>
      <w:bookmarkStart w:id="10" w:name="_Toc455505002"/>
      <w:bookmarkStart w:id="11" w:name="_Toc459993864"/>
      <w:bookmarkStart w:id="12" w:name="_Toc461798436"/>
      <w:bookmarkStart w:id="13" w:name="_Toc465691173"/>
      <w:bookmarkStart w:id="14" w:name="_Toc467684106"/>
      <w:bookmarkStart w:id="15" w:name="_Toc467772220"/>
      <w:bookmarkStart w:id="16" w:name="_Toc467841760"/>
      <w:bookmarkStart w:id="17" w:name="_Toc467857064"/>
      <w:bookmarkStart w:id="18" w:name="_Toc520998341"/>
      <w:bookmarkStart w:id="19" w:name="_Toc521077501"/>
      <w:bookmarkStart w:id="20" w:name="_Toc521405185"/>
      <w:r w:rsidRPr="00C6612E">
        <w:rPr>
          <w:sz w:val="32"/>
          <w:szCs w:val="32"/>
        </w:rPr>
        <w:t>g term civil liability</w:t>
      </w:r>
      <w:bookmarkEnd w:id="9"/>
      <w:bookmarkEnd w:id="10"/>
      <w:bookmarkEnd w:id="11"/>
      <w:bookmarkEnd w:id="12"/>
      <w:bookmarkEnd w:id="13"/>
      <w:bookmarkEnd w:id="14"/>
      <w:bookmarkEnd w:id="15"/>
      <w:bookmarkEnd w:id="16"/>
      <w:bookmarkEnd w:id="17"/>
      <w:bookmarkEnd w:id="18"/>
      <w:bookmarkEnd w:id="19"/>
      <w:bookmarkEnd w:id="20"/>
    </w:p>
    <w:p w14:paraId="5AD74DEC" w14:textId="5D2BBBB3" w:rsidR="005607DC" w:rsidRPr="0043766D" w:rsidRDefault="005607DC" w:rsidP="005607DC">
      <w:pPr>
        <w:pStyle w:val="Heading4"/>
        <w:rPr>
          <w:sz w:val="28"/>
          <w:szCs w:val="28"/>
        </w:rPr>
      </w:pPr>
      <w:r>
        <w:rPr>
          <w:sz w:val="28"/>
          <w:szCs w:val="28"/>
        </w:rPr>
        <w:t xml:space="preserve">3.3 </w:t>
      </w:r>
      <w:r w:rsidRPr="0043766D">
        <w:rPr>
          <w:sz w:val="28"/>
          <w:szCs w:val="28"/>
        </w:rPr>
        <w:t>Issues and opportunities</w:t>
      </w:r>
    </w:p>
    <w:p w14:paraId="600E0E0B" w14:textId="5EAD4A0A" w:rsidR="005607DC" w:rsidRPr="005607DC" w:rsidRDefault="005607DC" w:rsidP="005607DC">
      <w:pPr>
        <w:pStyle w:val="Heading5"/>
        <w:numPr>
          <w:ilvl w:val="0"/>
          <w:numId w:val="3"/>
        </w:numPr>
        <w:rPr>
          <w:color w:val="auto"/>
        </w:rPr>
      </w:pPr>
      <w:r w:rsidRPr="005607DC">
        <w:rPr>
          <w:color w:val="auto"/>
        </w:rPr>
        <w:t>3.3.1 Civil liability arrangements are not explicitly stated</w:t>
      </w:r>
    </w:p>
    <w:p w14:paraId="163DAA71" w14:textId="75576E93" w:rsidR="005607DC" w:rsidRPr="0043766D" w:rsidRDefault="005607DC" w:rsidP="005607DC">
      <w:pPr>
        <w:pStyle w:val="Heading4"/>
        <w:rPr>
          <w:sz w:val="28"/>
          <w:szCs w:val="28"/>
        </w:rPr>
      </w:pPr>
      <w:r>
        <w:rPr>
          <w:sz w:val="28"/>
          <w:szCs w:val="28"/>
        </w:rPr>
        <w:t xml:space="preserve">3.4 </w:t>
      </w:r>
      <w:r w:rsidRPr="0043766D">
        <w:rPr>
          <w:sz w:val="28"/>
          <w:szCs w:val="28"/>
        </w:rPr>
        <w:t>Potential options</w:t>
      </w:r>
    </w:p>
    <w:p w14:paraId="3463C90C" w14:textId="77777777" w:rsidR="005607DC" w:rsidRDefault="005607DC" w:rsidP="005607DC">
      <w:pPr>
        <w:pStyle w:val="Heading5"/>
        <w:numPr>
          <w:ilvl w:val="0"/>
          <w:numId w:val="3"/>
        </w:numPr>
        <w:rPr>
          <w:color w:val="auto"/>
        </w:rPr>
      </w:pPr>
      <w:r w:rsidRPr="005607DC">
        <w:rPr>
          <w:color w:val="auto"/>
        </w:rPr>
        <w:t>3.4.1 Clarify that civil liability rests with the titleholder in perpetuity</w:t>
      </w:r>
    </w:p>
    <w:p w14:paraId="6014E4E6" w14:textId="1149C3DD" w:rsidR="005607DC" w:rsidRDefault="005607DC" w:rsidP="00A12660">
      <w:pPr>
        <w:pStyle w:val="Heading5"/>
        <w:numPr>
          <w:ilvl w:val="0"/>
          <w:numId w:val="3"/>
        </w:numPr>
        <w:rPr>
          <w:color w:val="auto"/>
        </w:rPr>
      </w:pPr>
      <w:r w:rsidRPr="005607DC">
        <w:rPr>
          <w:color w:val="auto"/>
        </w:rPr>
        <w:t xml:space="preserve">3.4.2 </w:t>
      </w:r>
      <w:r w:rsidR="00A12660" w:rsidRPr="00A12660">
        <w:rPr>
          <w:color w:val="auto"/>
        </w:rPr>
        <w:t>Enable liability release in appropriate circumstances</w:t>
      </w:r>
    </w:p>
    <w:p w14:paraId="39CEFC46" w14:textId="2FB43FFB" w:rsidR="005607DC" w:rsidRDefault="0053359E" w:rsidP="00A12660">
      <w:pPr>
        <w:pStyle w:val="Heading5"/>
        <w:numPr>
          <w:ilvl w:val="0"/>
          <w:numId w:val="3"/>
        </w:numPr>
        <w:rPr>
          <w:color w:val="auto"/>
        </w:rPr>
      </w:pPr>
      <w:r>
        <w:rPr>
          <w:color w:val="auto"/>
        </w:rPr>
        <w:t xml:space="preserve">3.4.3 </w:t>
      </w:r>
      <w:r w:rsidR="00A12660" w:rsidRPr="00A12660">
        <w:rPr>
          <w:color w:val="auto"/>
        </w:rPr>
        <w:t>Government assume infrastructure ownership under an approved program</w:t>
      </w:r>
    </w:p>
    <w:p w14:paraId="6A56D0CF" w14:textId="6B68AA12" w:rsidR="005607DC" w:rsidRPr="005607DC" w:rsidRDefault="005607DC" w:rsidP="005607DC">
      <w:pPr>
        <w:pStyle w:val="Heading4"/>
        <w:rPr>
          <w:sz w:val="28"/>
          <w:szCs w:val="28"/>
        </w:rPr>
      </w:pPr>
      <w:r w:rsidRPr="0043766D">
        <w:rPr>
          <w:sz w:val="28"/>
          <w:szCs w:val="28"/>
        </w:rPr>
        <w:t>Question</w:t>
      </w:r>
      <w:r>
        <w:rPr>
          <w:sz w:val="28"/>
          <w:szCs w:val="28"/>
        </w:rPr>
        <w:t>s</w:t>
      </w:r>
    </w:p>
    <w:p w14:paraId="70ACFEFB" w14:textId="77777777" w:rsidR="00A12660" w:rsidRPr="00A12660" w:rsidRDefault="00A12660" w:rsidP="00A12660">
      <w:pPr>
        <w:pStyle w:val="Heading5"/>
        <w:numPr>
          <w:ilvl w:val="0"/>
          <w:numId w:val="1"/>
        </w:numPr>
        <w:rPr>
          <w:color w:val="auto"/>
        </w:rPr>
      </w:pPr>
      <w:r w:rsidRPr="00A12660">
        <w:rPr>
          <w:color w:val="auto"/>
        </w:rPr>
        <w:t>Should titleholders be released from liability in appropriate circumstances? Please articulate why or why not.</w:t>
      </w:r>
    </w:p>
    <w:p w14:paraId="37BEE569" w14:textId="77777777" w:rsidR="00A12660" w:rsidRPr="00A12660" w:rsidRDefault="00A12660" w:rsidP="00A12660">
      <w:pPr>
        <w:pStyle w:val="Heading5"/>
        <w:numPr>
          <w:ilvl w:val="0"/>
          <w:numId w:val="6"/>
        </w:numPr>
        <w:rPr>
          <w:color w:val="auto"/>
        </w:rPr>
      </w:pPr>
      <w:r w:rsidRPr="00A12660">
        <w:rPr>
          <w:color w:val="auto"/>
        </w:rPr>
        <w:t>If yes: What are the circumstances that might be appropriate? Which prescribed point(s) might be appropriate? What additional steps should be taken to ensure decommissioning has been undertaken to an acceptable standard?</w:t>
      </w:r>
    </w:p>
    <w:p w14:paraId="3173BB4C" w14:textId="77777777" w:rsidR="00A12660" w:rsidRPr="00A12660" w:rsidRDefault="00A12660" w:rsidP="00A12660">
      <w:pPr>
        <w:pStyle w:val="Heading5"/>
        <w:numPr>
          <w:ilvl w:val="0"/>
          <w:numId w:val="1"/>
        </w:numPr>
        <w:rPr>
          <w:color w:val="auto"/>
        </w:rPr>
      </w:pPr>
      <w:r w:rsidRPr="00A12660">
        <w:rPr>
          <w:color w:val="auto"/>
        </w:rPr>
        <w:t>Should titleholders ever be released from liability for infrastructure left in the marine environment? Please articulate why or why not.</w:t>
      </w:r>
    </w:p>
    <w:p w14:paraId="7B9E7F5E" w14:textId="3FE51765" w:rsidR="00A12660" w:rsidRDefault="00A12660" w:rsidP="00A12660">
      <w:pPr>
        <w:pStyle w:val="Heading5"/>
        <w:numPr>
          <w:ilvl w:val="0"/>
          <w:numId w:val="6"/>
        </w:numPr>
        <w:rPr>
          <w:color w:val="auto"/>
        </w:rPr>
      </w:pPr>
      <w:r w:rsidRPr="00A12660">
        <w:rPr>
          <w:color w:val="auto"/>
        </w:rPr>
        <w:t>If yes: What arrangements would be appropriate?</w:t>
      </w:r>
    </w:p>
    <w:p w14:paraId="0D1E2284" w14:textId="77777777" w:rsidR="00A11F65" w:rsidRDefault="00A11F65">
      <w:pPr>
        <w:rPr>
          <w:rFonts w:ascii="Arial" w:eastAsiaTheme="majorEastAsia" w:hAnsi="Arial" w:cstheme="majorBidi"/>
          <w:color w:val="00283E"/>
          <w:sz w:val="44"/>
          <w:szCs w:val="26"/>
        </w:rPr>
      </w:pPr>
      <w:r>
        <w:br w:type="page"/>
      </w:r>
    </w:p>
    <w:p w14:paraId="7EA6A31A" w14:textId="488ABA69" w:rsidR="0043766D" w:rsidRPr="00316410" w:rsidRDefault="0053359E" w:rsidP="00316410">
      <w:pPr>
        <w:pStyle w:val="Heading2"/>
        <w:spacing w:before="360" w:after="120"/>
      </w:pPr>
      <w:r w:rsidRPr="00316410">
        <w:lastRenderedPageBreak/>
        <w:t>4. Fi</w:t>
      </w:r>
      <w:r w:rsidR="00DB442A" w:rsidRPr="00316410">
        <w:t>nancial responsibility mechanisms</w:t>
      </w:r>
    </w:p>
    <w:p w14:paraId="261E0984" w14:textId="77777777" w:rsidR="00C6612E" w:rsidRPr="00C6612E" w:rsidRDefault="00C6612E" w:rsidP="00C6612E">
      <w:pPr>
        <w:pStyle w:val="Heading3"/>
        <w:rPr>
          <w:sz w:val="32"/>
          <w:szCs w:val="32"/>
        </w:rPr>
      </w:pPr>
      <w:r w:rsidRPr="00C6612E">
        <w:rPr>
          <w:sz w:val="32"/>
          <w:szCs w:val="32"/>
        </w:rPr>
        <w:t>Financial capacity to decommission</w:t>
      </w:r>
    </w:p>
    <w:p w14:paraId="5653F791" w14:textId="77777777" w:rsidR="00C6612E" w:rsidRDefault="00C6612E" w:rsidP="00C6612E">
      <w:pPr>
        <w:pStyle w:val="Heading4"/>
        <w:rPr>
          <w:sz w:val="28"/>
          <w:szCs w:val="28"/>
        </w:rPr>
      </w:pPr>
      <w:r>
        <w:rPr>
          <w:sz w:val="28"/>
          <w:szCs w:val="28"/>
        </w:rPr>
        <w:t>4.1 Issues and Opportunities</w:t>
      </w:r>
    </w:p>
    <w:p w14:paraId="6E4D495E" w14:textId="21F2A687" w:rsidR="00C6612E" w:rsidRDefault="00C6612E" w:rsidP="00C6612E">
      <w:pPr>
        <w:pStyle w:val="Heading5"/>
        <w:numPr>
          <w:ilvl w:val="0"/>
          <w:numId w:val="3"/>
        </w:numPr>
        <w:rPr>
          <w:color w:val="auto"/>
        </w:rPr>
      </w:pPr>
      <w:r>
        <w:rPr>
          <w:color w:val="auto"/>
        </w:rPr>
        <w:t xml:space="preserve">4.1.1 </w:t>
      </w:r>
      <w:r w:rsidR="009E5420" w:rsidRPr="0053359E">
        <w:rPr>
          <w:color w:val="auto"/>
        </w:rPr>
        <w:t>Assessment of financial capacity to decommission is a point-in-time assessment</w:t>
      </w:r>
    </w:p>
    <w:p w14:paraId="34593F7C" w14:textId="351ADE25" w:rsidR="00EF1AF6" w:rsidRDefault="00EF1AF6" w:rsidP="009E5420">
      <w:pPr>
        <w:pStyle w:val="Heading5"/>
        <w:numPr>
          <w:ilvl w:val="0"/>
          <w:numId w:val="3"/>
        </w:numPr>
        <w:rPr>
          <w:color w:val="auto"/>
        </w:rPr>
      </w:pPr>
      <w:r w:rsidRPr="00EF1AF6">
        <w:rPr>
          <w:color w:val="auto"/>
        </w:rPr>
        <w:t xml:space="preserve">4.1.2 </w:t>
      </w:r>
      <w:r w:rsidR="009E5420" w:rsidRPr="009E5420">
        <w:rPr>
          <w:color w:val="auto"/>
        </w:rPr>
        <w:t>Concerns expressed about late-life changes in ownership</w:t>
      </w:r>
    </w:p>
    <w:p w14:paraId="2F5A7B06" w14:textId="3BCC0943" w:rsidR="00C6612E" w:rsidRDefault="00EF1AF6" w:rsidP="009E5420">
      <w:pPr>
        <w:pStyle w:val="Heading5"/>
        <w:numPr>
          <w:ilvl w:val="0"/>
          <w:numId w:val="3"/>
        </w:numPr>
        <w:rPr>
          <w:color w:val="auto"/>
        </w:rPr>
      </w:pPr>
      <w:r w:rsidRPr="00EF1AF6">
        <w:rPr>
          <w:color w:val="auto"/>
        </w:rPr>
        <w:t xml:space="preserve">4.1.3 </w:t>
      </w:r>
      <w:r w:rsidR="009E5420" w:rsidRPr="009E5420">
        <w:rPr>
          <w:color w:val="auto"/>
        </w:rPr>
        <w:t>Information on titleholders’ decommissioning capacity is not required for a change in parent company ownership or control of a titleholder company</w:t>
      </w:r>
    </w:p>
    <w:p w14:paraId="2BA3C13C" w14:textId="6F7C6E20" w:rsidR="00C6612E" w:rsidRPr="00C6612E" w:rsidRDefault="00EF1AF6" w:rsidP="00C6612E">
      <w:pPr>
        <w:pStyle w:val="Heading4"/>
        <w:rPr>
          <w:sz w:val="28"/>
          <w:szCs w:val="28"/>
        </w:rPr>
      </w:pPr>
      <w:bookmarkStart w:id="21" w:name="_Toc454521745"/>
      <w:bookmarkStart w:id="22" w:name="_Toc454522488"/>
      <w:bookmarkStart w:id="23" w:name="_Toc454548047"/>
      <w:bookmarkStart w:id="24" w:name="_Toc454548331"/>
      <w:bookmarkStart w:id="25" w:name="_Toc454550272"/>
      <w:bookmarkStart w:id="26" w:name="_Toc455501020"/>
      <w:bookmarkStart w:id="27" w:name="_Toc455504984"/>
      <w:bookmarkStart w:id="28" w:name="_Toc459993849"/>
      <w:bookmarkStart w:id="29" w:name="_Toc461798421"/>
      <w:bookmarkStart w:id="30" w:name="_Toc465691154"/>
      <w:bookmarkStart w:id="31" w:name="_Toc467684087"/>
      <w:bookmarkStart w:id="32" w:name="_Toc467772201"/>
      <w:bookmarkStart w:id="33" w:name="_Toc467841741"/>
      <w:bookmarkStart w:id="34" w:name="_Toc467857045"/>
      <w:bookmarkStart w:id="35" w:name="_Toc448423064"/>
      <w:bookmarkStart w:id="36" w:name="_Toc448507428"/>
      <w:r>
        <w:rPr>
          <w:sz w:val="28"/>
          <w:szCs w:val="28"/>
        </w:rPr>
        <w:t>4.2</w:t>
      </w:r>
      <w:r w:rsidR="00C6612E" w:rsidRPr="00C6612E">
        <w:rPr>
          <w:sz w:val="28"/>
          <w:szCs w:val="28"/>
        </w:rPr>
        <w:t xml:space="preserve"> Potential </w:t>
      </w:r>
      <w:bookmarkEnd w:id="21"/>
      <w:bookmarkEnd w:id="22"/>
      <w:bookmarkEnd w:id="23"/>
      <w:bookmarkEnd w:id="24"/>
      <w:bookmarkEnd w:id="25"/>
      <w:bookmarkEnd w:id="26"/>
      <w:bookmarkEnd w:id="27"/>
      <w:bookmarkEnd w:id="28"/>
      <w:bookmarkEnd w:id="29"/>
      <w:bookmarkEnd w:id="30"/>
      <w:bookmarkEnd w:id="31"/>
      <w:bookmarkEnd w:id="32"/>
      <w:bookmarkEnd w:id="33"/>
      <w:bookmarkEnd w:id="34"/>
      <w:r>
        <w:rPr>
          <w:sz w:val="28"/>
          <w:szCs w:val="28"/>
        </w:rPr>
        <w:t>option</w:t>
      </w:r>
    </w:p>
    <w:bookmarkEnd w:id="35"/>
    <w:bookmarkEnd w:id="36"/>
    <w:p w14:paraId="4438DB29" w14:textId="63A7EE30" w:rsidR="00C6612E" w:rsidRDefault="00EF1AF6" w:rsidP="009E5420">
      <w:pPr>
        <w:pStyle w:val="Heading5"/>
        <w:numPr>
          <w:ilvl w:val="0"/>
          <w:numId w:val="3"/>
        </w:numPr>
        <w:rPr>
          <w:color w:val="auto"/>
        </w:rPr>
      </w:pPr>
      <w:r w:rsidRPr="00EF1AF6">
        <w:rPr>
          <w:color w:val="auto"/>
        </w:rPr>
        <w:t xml:space="preserve">4.2.1 </w:t>
      </w:r>
      <w:r w:rsidR="009E5420" w:rsidRPr="009E5420">
        <w:rPr>
          <w:color w:val="auto"/>
        </w:rPr>
        <w:t>Allow assessment of titleholder’s capacity to undertake obligations to be conducted at any time</w:t>
      </w:r>
    </w:p>
    <w:p w14:paraId="3E866966" w14:textId="77777777" w:rsidR="00C6612E" w:rsidRPr="0043766D" w:rsidRDefault="00C6612E" w:rsidP="00C6612E">
      <w:pPr>
        <w:pStyle w:val="Heading4"/>
        <w:rPr>
          <w:sz w:val="28"/>
          <w:szCs w:val="28"/>
        </w:rPr>
      </w:pPr>
      <w:r w:rsidRPr="0043766D">
        <w:rPr>
          <w:sz w:val="28"/>
          <w:szCs w:val="28"/>
        </w:rPr>
        <w:t>Question</w:t>
      </w:r>
      <w:r>
        <w:rPr>
          <w:sz w:val="28"/>
          <w:szCs w:val="28"/>
        </w:rPr>
        <w:t>s</w:t>
      </w:r>
    </w:p>
    <w:p w14:paraId="167E8559" w14:textId="77777777" w:rsidR="009E5420" w:rsidRPr="009E5420" w:rsidRDefault="009E5420" w:rsidP="009E5420">
      <w:pPr>
        <w:pStyle w:val="Heading5"/>
        <w:numPr>
          <w:ilvl w:val="0"/>
          <w:numId w:val="1"/>
        </w:numPr>
        <w:rPr>
          <w:color w:val="auto"/>
        </w:rPr>
      </w:pPr>
      <w:r w:rsidRPr="009E5420">
        <w:rPr>
          <w:color w:val="auto"/>
        </w:rPr>
        <w:t>Should government be able to conduct assessments of a titleholder’s capacity to fulfil its obligations at any time? Please articulate why or why not.</w:t>
      </w:r>
    </w:p>
    <w:p w14:paraId="59123BC7" w14:textId="0ECE7689" w:rsidR="009E5420" w:rsidRDefault="009E5420" w:rsidP="009E5420">
      <w:pPr>
        <w:pStyle w:val="Heading5"/>
        <w:numPr>
          <w:ilvl w:val="0"/>
          <w:numId w:val="6"/>
        </w:numPr>
        <w:rPr>
          <w:color w:val="auto"/>
        </w:rPr>
      </w:pPr>
      <w:r w:rsidRPr="009E5420">
        <w:rPr>
          <w:color w:val="auto"/>
        </w:rPr>
        <w:t>If no: What alternative approach is proposed to ensure titleholders have the continued capacity to fulfil their obligations?</w:t>
      </w:r>
    </w:p>
    <w:p w14:paraId="245C1CE3" w14:textId="3C549AFA" w:rsidR="0053359E" w:rsidRPr="00C6612E" w:rsidRDefault="009E5420" w:rsidP="00C6612E">
      <w:pPr>
        <w:pStyle w:val="Heading3"/>
        <w:rPr>
          <w:sz w:val="32"/>
          <w:szCs w:val="32"/>
        </w:rPr>
      </w:pPr>
      <w:r>
        <w:rPr>
          <w:sz w:val="32"/>
          <w:szCs w:val="32"/>
        </w:rPr>
        <w:t>Financial securities</w:t>
      </w:r>
      <w:r w:rsidR="00C6612E" w:rsidRPr="00C6612E">
        <w:rPr>
          <w:sz w:val="32"/>
          <w:szCs w:val="32"/>
        </w:rPr>
        <w:t xml:space="preserve"> for decommissioning</w:t>
      </w:r>
    </w:p>
    <w:p w14:paraId="041E9691" w14:textId="1D5A2B87" w:rsidR="00C6612E" w:rsidRDefault="00C6612E" w:rsidP="00C6612E">
      <w:pPr>
        <w:pStyle w:val="Heading4"/>
        <w:rPr>
          <w:sz w:val="28"/>
          <w:szCs w:val="28"/>
        </w:rPr>
      </w:pPr>
      <w:r>
        <w:rPr>
          <w:sz w:val="28"/>
          <w:szCs w:val="28"/>
        </w:rPr>
        <w:t>4.</w:t>
      </w:r>
      <w:r w:rsidR="00851070">
        <w:rPr>
          <w:sz w:val="28"/>
          <w:szCs w:val="28"/>
        </w:rPr>
        <w:t>3</w:t>
      </w:r>
      <w:r>
        <w:rPr>
          <w:sz w:val="28"/>
          <w:szCs w:val="28"/>
        </w:rPr>
        <w:t xml:space="preserve"> Issues and Opportunities</w:t>
      </w:r>
    </w:p>
    <w:p w14:paraId="0A030D94" w14:textId="255D03CC" w:rsidR="00EF1AF6" w:rsidRPr="00EF1AF6" w:rsidRDefault="00EF1AF6" w:rsidP="009E5420">
      <w:pPr>
        <w:pStyle w:val="Heading5"/>
        <w:numPr>
          <w:ilvl w:val="0"/>
          <w:numId w:val="3"/>
        </w:numPr>
        <w:rPr>
          <w:sz w:val="28"/>
          <w:szCs w:val="28"/>
        </w:rPr>
      </w:pPr>
      <w:r w:rsidRPr="00EF1AF6">
        <w:rPr>
          <w:color w:val="auto"/>
        </w:rPr>
        <w:t xml:space="preserve">4.3.1 </w:t>
      </w:r>
      <w:r w:rsidR="009E5420" w:rsidRPr="009E5420">
        <w:rPr>
          <w:color w:val="auto"/>
        </w:rPr>
        <w:t>Australia does not currently require provision of financial security for decommissioning</w:t>
      </w:r>
    </w:p>
    <w:p w14:paraId="118A5549" w14:textId="5BBD7C50" w:rsidR="009D5D64" w:rsidRDefault="00EF1AF6" w:rsidP="00851070">
      <w:pPr>
        <w:pStyle w:val="Heading4"/>
        <w:rPr>
          <w:sz w:val="28"/>
          <w:szCs w:val="28"/>
        </w:rPr>
      </w:pPr>
      <w:r>
        <w:rPr>
          <w:sz w:val="28"/>
          <w:szCs w:val="28"/>
        </w:rPr>
        <w:t>4.4</w:t>
      </w:r>
      <w:r w:rsidR="0053359E">
        <w:rPr>
          <w:sz w:val="28"/>
          <w:szCs w:val="28"/>
        </w:rPr>
        <w:t xml:space="preserve"> </w:t>
      </w:r>
      <w:r w:rsidR="009D5D64" w:rsidRPr="0043766D">
        <w:rPr>
          <w:sz w:val="28"/>
          <w:szCs w:val="28"/>
        </w:rPr>
        <w:t xml:space="preserve">Potential options </w:t>
      </w:r>
    </w:p>
    <w:p w14:paraId="2A1B306D" w14:textId="2386AD96" w:rsidR="00EF1AF6" w:rsidRDefault="00EF1AF6" w:rsidP="009E5420">
      <w:pPr>
        <w:pStyle w:val="Heading5"/>
        <w:numPr>
          <w:ilvl w:val="0"/>
          <w:numId w:val="3"/>
        </w:numPr>
        <w:rPr>
          <w:color w:val="auto"/>
        </w:rPr>
      </w:pPr>
      <w:r w:rsidRPr="00EF1AF6">
        <w:rPr>
          <w:color w:val="auto"/>
        </w:rPr>
        <w:t xml:space="preserve">4.4.1 </w:t>
      </w:r>
      <w:r w:rsidR="009E5420" w:rsidRPr="009E5420">
        <w:rPr>
          <w:color w:val="auto"/>
        </w:rPr>
        <w:t>Implement an express statutory requirement for financial security for decommissioning</w:t>
      </w:r>
    </w:p>
    <w:p w14:paraId="6E6756E6" w14:textId="2DCBCBF3" w:rsidR="00EF1AF6" w:rsidRDefault="00EF1AF6" w:rsidP="009E5420">
      <w:pPr>
        <w:pStyle w:val="Heading5"/>
        <w:numPr>
          <w:ilvl w:val="0"/>
          <w:numId w:val="3"/>
        </w:numPr>
        <w:rPr>
          <w:color w:val="auto"/>
        </w:rPr>
      </w:pPr>
      <w:r w:rsidRPr="00EF1AF6">
        <w:rPr>
          <w:color w:val="auto"/>
        </w:rPr>
        <w:t xml:space="preserve">4.4.2 </w:t>
      </w:r>
      <w:r w:rsidR="009E5420" w:rsidRPr="009E5420">
        <w:rPr>
          <w:color w:val="auto"/>
        </w:rPr>
        <w:t>Require financial security for decommissioning on a discretionary basis</w:t>
      </w:r>
      <w:r w:rsidRPr="00EF1AF6">
        <w:rPr>
          <w:color w:val="auto"/>
        </w:rPr>
        <w:t xml:space="preserve"> </w:t>
      </w:r>
    </w:p>
    <w:p w14:paraId="154F9766" w14:textId="48CFD8A6" w:rsidR="009D5D64" w:rsidRPr="009D5D64" w:rsidRDefault="00EF1AF6" w:rsidP="00EF1AF6">
      <w:pPr>
        <w:pStyle w:val="Heading5"/>
        <w:numPr>
          <w:ilvl w:val="0"/>
          <w:numId w:val="3"/>
        </w:numPr>
        <w:rPr>
          <w:color w:val="auto"/>
        </w:rPr>
      </w:pPr>
      <w:r>
        <w:rPr>
          <w:color w:val="auto"/>
        </w:rPr>
        <w:t>4.4</w:t>
      </w:r>
      <w:r w:rsidR="0053359E" w:rsidRPr="0053359E">
        <w:rPr>
          <w:color w:val="auto"/>
        </w:rPr>
        <w:t>.3 Establish a dedicated decommissioning fund</w:t>
      </w:r>
      <w:r w:rsidR="009D5D64" w:rsidRPr="009D5D64">
        <w:rPr>
          <w:color w:val="auto"/>
        </w:rPr>
        <w:t xml:space="preserve"> </w:t>
      </w:r>
    </w:p>
    <w:p w14:paraId="60A3E3AC" w14:textId="0F30329B" w:rsidR="009D5D64" w:rsidRDefault="00EF1AF6" w:rsidP="0053359E">
      <w:pPr>
        <w:pStyle w:val="Heading5"/>
        <w:numPr>
          <w:ilvl w:val="0"/>
          <w:numId w:val="6"/>
        </w:numPr>
        <w:rPr>
          <w:color w:val="auto"/>
        </w:rPr>
      </w:pPr>
      <w:r>
        <w:rPr>
          <w:color w:val="auto"/>
        </w:rPr>
        <w:t>4.4</w:t>
      </w:r>
      <w:r w:rsidR="0053359E" w:rsidRPr="0053359E">
        <w:rPr>
          <w:color w:val="auto"/>
        </w:rPr>
        <w:t xml:space="preserve">.3.1 </w:t>
      </w:r>
      <w:r w:rsidR="009D5D64" w:rsidRPr="009D5D64">
        <w:rPr>
          <w:color w:val="auto"/>
        </w:rPr>
        <w:t>Individual</w:t>
      </w:r>
    </w:p>
    <w:p w14:paraId="425611F5" w14:textId="69B40A76" w:rsidR="009D5D64" w:rsidRPr="009D5D64" w:rsidRDefault="00EF1AF6" w:rsidP="009D5D64">
      <w:pPr>
        <w:pStyle w:val="Heading5"/>
        <w:numPr>
          <w:ilvl w:val="0"/>
          <w:numId w:val="6"/>
        </w:numPr>
        <w:rPr>
          <w:color w:val="auto"/>
        </w:rPr>
      </w:pPr>
      <w:r>
        <w:rPr>
          <w:color w:val="auto"/>
        </w:rPr>
        <w:t>4.4</w:t>
      </w:r>
      <w:r w:rsidR="0053359E">
        <w:rPr>
          <w:color w:val="auto"/>
        </w:rPr>
        <w:t xml:space="preserve">.3.2 </w:t>
      </w:r>
      <w:r w:rsidR="009D5D64">
        <w:rPr>
          <w:color w:val="auto"/>
        </w:rPr>
        <w:t>P</w:t>
      </w:r>
      <w:r w:rsidR="009D5D64" w:rsidRPr="009D5D64">
        <w:rPr>
          <w:color w:val="auto"/>
        </w:rPr>
        <w:t>ooled</w:t>
      </w:r>
    </w:p>
    <w:p w14:paraId="1AFA3021" w14:textId="516BEC82" w:rsidR="00C6612E" w:rsidRDefault="00EF1AF6" w:rsidP="009D5D64">
      <w:pPr>
        <w:pStyle w:val="Heading5"/>
        <w:numPr>
          <w:ilvl w:val="0"/>
          <w:numId w:val="3"/>
        </w:numPr>
        <w:rPr>
          <w:color w:val="auto"/>
        </w:rPr>
      </w:pPr>
      <w:r>
        <w:rPr>
          <w:color w:val="auto"/>
        </w:rPr>
        <w:t>4.4</w:t>
      </w:r>
      <w:r w:rsidR="00C6612E" w:rsidRPr="0053359E">
        <w:rPr>
          <w:color w:val="auto"/>
        </w:rPr>
        <w:t>.4 Expand existing financial assurance requirements</w:t>
      </w:r>
    </w:p>
    <w:p w14:paraId="0967179E" w14:textId="02F69569" w:rsidR="00DB442A" w:rsidRPr="0043766D" w:rsidRDefault="00DB442A" w:rsidP="00DB442A">
      <w:pPr>
        <w:pStyle w:val="Heading4"/>
        <w:rPr>
          <w:sz w:val="28"/>
          <w:szCs w:val="28"/>
        </w:rPr>
      </w:pPr>
      <w:r w:rsidRPr="0043766D">
        <w:rPr>
          <w:sz w:val="28"/>
          <w:szCs w:val="28"/>
        </w:rPr>
        <w:t>Question</w:t>
      </w:r>
      <w:r>
        <w:rPr>
          <w:sz w:val="28"/>
          <w:szCs w:val="28"/>
        </w:rPr>
        <w:t>s</w:t>
      </w:r>
    </w:p>
    <w:p w14:paraId="66649920" w14:textId="77777777" w:rsidR="009E5420" w:rsidRPr="009E5420" w:rsidRDefault="009E5420" w:rsidP="009E5420">
      <w:pPr>
        <w:pStyle w:val="Heading5"/>
        <w:numPr>
          <w:ilvl w:val="0"/>
          <w:numId w:val="1"/>
        </w:numPr>
        <w:rPr>
          <w:color w:val="auto"/>
        </w:rPr>
      </w:pPr>
      <w:r w:rsidRPr="009E5420">
        <w:rPr>
          <w:color w:val="auto"/>
        </w:rPr>
        <w:t>Should industry be required to hold and demonstrate sufficient financial security to meet its decommissioning costs? Please articulate why or why not.</w:t>
      </w:r>
    </w:p>
    <w:p w14:paraId="3F084EAA" w14:textId="3C535344" w:rsidR="009E5420" w:rsidRDefault="009E5420" w:rsidP="009E5420">
      <w:pPr>
        <w:pStyle w:val="Heading5"/>
        <w:numPr>
          <w:ilvl w:val="0"/>
          <w:numId w:val="6"/>
        </w:numPr>
        <w:rPr>
          <w:color w:val="auto"/>
        </w:rPr>
      </w:pPr>
      <w:r w:rsidRPr="009E5420">
        <w:rPr>
          <w:color w:val="auto"/>
        </w:rPr>
        <w:t>If yes: What form of security should be implemented? How should the security be administered? When should the security be required and how might this be triggered? Should the security requirement apply to all titleholders (i.e. current titleholders as well as new ones)?</w:t>
      </w:r>
      <w:bookmarkStart w:id="37" w:name="_GoBack"/>
      <w:bookmarkEnd w:id="37"/>
    </w:p>
    <w:p w14:paraId="31ABED7F" w14:textId="77777777" w:rsidR="00A11F65" w:rsidRDefault="00A11F65">
      <w:pPr>
        <w:rPr>
          <w:rFonts w:ascii="Arial" w:eastAsiaTheme="majorEastAsia" w:hAnsi="Arial" w:cstheme="majorBidi"/>
          <w:color w:val="00283E"/>
          <w:sz w:val="44"/>
          <w:szCs w:val="26"/>
        </w:rPr>
      </w:pPr>
      <w:bookmarkStart w:id="38" w:name="_Toc521415143"/>
      <w:bookmarkStart w:id="39" w:name="_Toc521425844"/>
      <w:r>
        <w:br w:type="page"/>
      </w:r>
    </w:p>
    <w:p w14:paraId="49FB36A2" w14:textId="7AF204B7" w:rsidR="00EF1AF6" w:rsidRPr="00316410" w:rsidRDefault="00EF1AF6" w:rsidP="00316410">
      <w:pPr>
        <w:pStyle w:val="Heading2"/>
        <w:spacing w:before="360" w:after="120"/>
      </w:pPr>
      <w:r w:rsidRPr="00316410">
        <w:lastRenderedPageBreak/>
        <w:t>5. Post-title compliance and enforcement</w:t>
      </w:r>
      <w:bookmarkEnd w:id="38"/>
      <w:bookmarkEnd w:id="39"/>
    </w:p>
    <w:p w14:paraId="456BC1FD" w14:textId="08484AB5" w:rsidR="00EF1AF6" w:rsidRPr="00851070" w:rsidRDefault="00EF1AF6" w:rsidP="00851070">
      <w:pPr>
        <w:pStyle w:val="Heading3"/>
        <w:rPr>
          <w:sz w:val="32"/>
          <w:szCs w:val="32"/>
        </w:rPr>
      </w:pPr>
      <w:bookmarkStart w:id="40" w:name="_Toc520390601"/>
      <w:bookmarkStart w:id="41" w:name="_Toc520991893"/>
      <w:bookmarkStart w:id="42" w:name="_Toc520998345"/>
      <w:bookmarkStart w:id="43" w:name="_Toc521077505"/>
      <w:bookmarkStart w:id="44" w:name="_Toc521415144"/>
      <w:bookmarkStart w:id="45" w:name="_Toc521425845"/>
      <w:r w:rsidRPr="00851070">
        <w:rPr>
          <w:sz w:val="32"/>
          <w:szCs w:val="32"/>
        </w:rPr>
        <w:t>Relevant duties and obligations for remedial directions</w:t>
      </w:r>
      <w:bookmarkEnd w:id="40"/>
      <w:bookmarkEnd w:id="41"/>
      <w:bookmarkEnd w:id="42"/>
      <w:bookmarkEnd w:id="43"/>
      <w:bookmarkEnd w:id="44"/>
      <w:bookmarkEnd w:id="45"/>
    </w:p>
    <w:p w14:paraId="36B52B61" w14:textId="67D984C9" w:rsidR="00316410" w:rsidRPr="0043766D" w:rsidRDefault="00851070" w:rsidP="00851070">
      <w:pPr>
        <w:pStyle w:val="Heading4"/>
        <w:rPr>
          <w:sz w:val="28"/>
          <w:szCs w:val="28"/>
        </w:rPr>
      </w:pPr>
      <w:r>
        <w:rPr>
          <w:sz w:val="28"/>
          <w:szCs w:val="28"/>
        </w:rPr>
        <w:t xml:space="preserve">5.1 </w:t>
      </w:r>
      <w:r w:rsidR="00316410" w:rsidRPr="0043766D">
        <w:rPr>
          <w:sz w:val="28"/>
          <w:szCs w:val="28"/>
        </w:rPr>
        <w:t>Issue</w:t>
      </w:r>
      <w:r w:rsidR="00316410">
        <w:rPr>
          <w:sz w:val="28"/>
          <w:szCs w:val="28"/>
        </w:rPr>
        <w:t xml:space="preserve"> and opportunity</w:t>
      </w:r>
    </w:p>
    <w:p w14:paraId="125F260A" w14:textId="77777777" w:rsidR="00EF1AF6" w:rsidRPr="00851070" w:rsidRDefault="00EF1AF6" w:rsidP="00851070">
      <w:pPr>
        <w:pStyle w:val="Heading5"/>
        <w:numPr>
          <w:ilvl w:val="0"/>
          <w:numId w:val="3"/>
        </w:numPr>
        <w:rPr>
          <w:color w:val="auto"/>
        </w:rPr>
      </w:pPr>
      <w:r w:rsidRPr="00851070">
        <w:rPr>
          <w:color w:val="auto"/>
        </w:rPr>
        <w:t>5.1.1 Remedial directions do not reinstate relevant duties and obligations</w:t>
      </w:r>
    </w:p>
    <w:p w14:paraId="4106FAC0" w14:textId="77777777" w:rsidR="00EF1AF6" w:rsidRPr="00851070" w:rsidRDefault="00EF1AF6" w:rsidP="00851070">
      <w:pPr>
        <w:pStyle w:val="Heading4"/>
        <w:rPr>
          <w:sz w:val="28"/>
          <w:szCs w:val="28"/>
        </w:rPr>
      </w:pPr>
      <w:r w:rsidRPr="00851070">
        <w:rPr>
          <w:sz w:val="28"/>
          <w:szCs w:val="28"/>
        </w:rPr>
        <w:t>5.2 Potential option</w:t>
      </w:r>
    </w:p>
    <w:p w14:paraId="43CE7E54" w14:textId="77777777" w:rsidR="00EF1AF6" w:rsidRPr="00851070" w:rsidRDefault="00EF1AF6" w:rsidP="00851070">
      <w:pPr>
        <w:pStyle w:val="Heading5"/>
        <w:numPr>
          <w:ilvl w:val="0"/>
          <w:numId w:val="3"/>
        </w:numPr>
        <w:rPr>
          <w:color w:val="auto"/>
        </w:rPr>
      </w:pPr>
      <w:bookmarkStart w:id="46" w:name="_5.2.1_Ensure_former"/>
      <w:bookmarkEnd w:id="46"/>
      <w:r w:rsidRPr="00851070">
        <w:rPr>
          <w:color w:val="auto"/>
        </w:rPr>
        <w:t xml:space="preserve">5.2.1 Ensure former titleholders have appropriate duties and responsibilities </w:t>
      </w:r>
    </w:p>
    <w:p w14:paraId="1A816A41" w14:textId="77777777" w:rsidR="00EF1AF6" w:rsidRPr="00851070" w:rsidRDefault="00EF1AF6" w:rsidP="00851070">
      <w:pPr>
        <w:pStyle w:val="Heading3"/>
        <w:rPr>
          <w:sz w:val="32"/>
          <w:szCs w:val="32"/>
        </w:rPr>
      </w:pPr>
      <w:bookmarkStart w:id="47" w:name="_Toc520390602"/>
      <w:bookmarkStart w:id="48" w:name="_Toc520991894"/>
      <w:bookmarkStart w:id="49" w:name="_Toc520998346"/>
      <w:bookmarkStart w:id="50" w:name="_Toc521077506"/>
      <w:bookmarkStart w:id="51" w:name="_Toc521415145"/>
      <w:bookmarkStart w:id="52" w:name="_Toc521425846"/>
      <w:r w:rsidRPr="00851070">
        <w:rPr>
          <w:sz w:val="32"/>
          <w:szCs w:val="32"/>
        </w:rPr>
        <w:t>Submitting risk management plans</w:t>
      </w:r>
      <w:bookmarkEnd w:id="47"/>
      <w:bookmarkEnd w:id="48"/>
      <w:bookmarkEnd w:id="49"/>
      <w:bookmarkEnd w:id="50"/>
      <w:bookmarkEnd w:id="51"/>
      <w:bookmarkEnd w:id="52"/>
    </w:p>
    <w:p w14:paraId="71D5ECB8" w14:textId="77777777" w:rsidR="00EF1AF6" w:rsidRPr="00851070" w:rsidRDefault="00EF1AF6" w:rsidP="00851070">
      <w:pPr>
        <w:pStyle w:val="Heading4"/>
        <w:rPr>
          <w:sz w:val="28"/>
          <w:szCs w:val="28"/>
        </w:rPr>
      </w:pPr>
      <w:r w:rsidRPr="00851070">
        <w:rPr>
          <w:sz w:val="28"/>
          <w:szCs w:val="28"/>
        </w:rPr>
        <w:t>5.3 Issue and opportunity</w:t>
      </w:r>
    </w:p>
    <w:p w14:paraId="36E73605" w14:textId="77777777" w:rsidR="00EF1AF6" w:rsidRPr="00851070" w:rsidRDefault="00EF1AF6" w:rsidP="00851070">
      <w:pPr>
        <w:pStyle w:val="Heading5"/>
        <w:numPr>
          <w:ilvl w:val="0"/>
          <w:numId w:val="3"/>
        </w:numPr>
        <w:rPr>
          <w:color w:val="auto"/>
        </w:rPr>
      </w:pPr>
      <w:r w:rsidRPr="00851070">
        <w:rPr>
          <w:color w:val="auto"/>
        </w:rPr>
        <w:t>5.3.1 Former titleholders cannot submit and have approved risk management documents</w:t>
      </w:r>
    </w:p>
    <w:p w14:paraId="760CED00" w14:textId="77777777" w:rsidR="00EF1AF6" w:rsidRPr="00851070" w:rsidRDefault="00EF1AF6" w:rsidP="00851070">
      <w:pPr>
        <w:pStyle w:val="Heading4"/>
        <w:rPr>
          <w:sz w:val="28"/>
          <w:szCs w:val="28"/>
        </w:rPr>
      </w:pPr>
      <w:r w:rsidRPr="00851070">
        <w:rPr>
          <w:sz w:val="28"/>
          <w:szCs w:val="28"/>
        </w:rPr>
        <w:t>5.4 Potential options</w:t>
      </w:r>
    </w:p>
    <w:p w14:paraId="68ECFE73" w14:textId="77777777" w:rsidR="00EF1AF6" w:rsidRPr="00851070" w:rsidRDefault="00EF1AF6" w:rsidP="00851070">
      <w:pPr>
        <w:pStyle w:val="Heading5"/>
        <w:numPr>
          <w:ilvl w:val="0"/>
          <w:numId w:val="3"/>
        </w:numPr>
        <w:rPr>
          <w:color w:val="auto"/>
        </w:rPr>
      </w:pPr>
      <w:r w:rsidRPr="00851070">
        <w:rPr>
          <w:color w:val="auto"/>
        </w:rPr>
        <w:t>5.4.1 Expand the range of persons able to submit a risk management plan</w:t>
      </w:r>
    </w:p>
    <w:p w14:paraId="4D38CF7A" w14:textId="77777777" w:rsidR="00EF1AF6" w:rsidRPr="00851070" w:rsidRDefault="00EF1AF6" w:rsidP="00851070">
      <w:pPr>
        <w:pStyle w:val="Heading5"/>
        <w:numPr>
          <w:ilvl w:val="0"/>
          <w:numId w:val="3"/>
        </w:numPr>
        <w:rPr>
          <w:color w:val="auto"/>
        </w:rPr>
      </w:pPr>
      <w:r w:rsidRPr="00851070">
        <w:rPr>
          <w:color w:val="auto"/>
        </w:rPr>
        <w:t>5.4.2 Establish a new decommissioning title</w:t>
      </w:r>
    </w:p>
    <w:p w14:paraId="5574F12E" w14:textId="0C04343E" w:rsidR="009E5420" w:rsidRPr="009E5420" w:rsidRDefault="00851070" w:rsidP="009E5420">
      <w:pPr>
        <w:pStyle w:val="Heading4"/>
        <w:rPr>
          <w:sz w:val="28"/>
          <w:szCs w:val="28"/>
        </w:rPr>
      </w:pPr>
      <w:r w:rsidRPr="0043766D">
        <w:rPr>
          <w:sz w:val="28"/>
          <w:szCs w:val="28"/>
        </w:rPr>
        <w:t>Question</w:t>
      </w:r>
      <w:r>
        <w:rPr>
          <w:sz w:val="28"/>
          <w:szCs w:val="28"/>
        </w:rPr>
        <w:t>s</w:t>
      </w:r>
    </w:p>
    <w:p w14:paraId="14E6866C" w14:textId="77777777" w:rsidR="009E5420" w:rsidRPr="009E5420" w:rsidRDefault="009E5420" w:rsidP="009E5420">
      <w:pPr>
        <w:pStyle w:val="Heading5"/>
        <w:numPr>
          <w:ilvl w:val="0"/>
          <w:numId w:val="1"/>
        </w:numPr>
        <w:rPr>
          <w:color w:val="auto"/>
        </w:rPr>
      </w:pPr>
      <w:r w:rsidRPr="009E5420">
        <w:rPr>
          <w:color w:val="auto"/>
        </w:rPr>
        <w:t>Should a former titleholder operating under a remedial direction be subject to all the duties and responsibilities as if it were operating under their previous title? Please articulate why or why not.</w:t>
      </w:r>
    </w:p>
    <w:p w14:paraId="6ABF8D43" w14:textId="77777777" w:rsidR="009E5420" w:rsidRPr="009E5420" w:rsidRDefault="009E5420" w:rsidP="009E5420">
      <w:pPr>
        <w:pStyle w:val="Heading5"/>
        <w:numPr>
          <w:ilvl w:val="0"/>
          <w:numId w:val="6"/>
        </w:numPr>
        <w:rPr>
          <w:color w:val="auto"/>
        </w:rPr>
      </w:pPr>
      <w:r w:rsidRPr="009E5420">
        <w:rPr>
          <w:color w:val="auto"/>
        </w:rPr>
        <w:t>If no: Should certain duties or responsibilities be excluded or additional duties or responsibilities included?</w:t>
      </w:r>
    </w:p>
    <w:p w14:paraId="519B2DBD" w14:textId="77777777" w:rsidR="009E5420" w:rsidRPr="009E5420" w:rsidRDefault="009E5420" w:rsidP="009E5420">
      <w:pPr>
        <w:pStyle w:val="Heading5"/>
        <w:numPr>
          <w:ilvl w:val="0"/>
          <w:numId w:val="1"/>
        </w:numPr>
        <w:rPr>
          <w:color w:val="auto"/>
        </w:rPr>
      </w:pPr>
      <w:r w:rsidRPr="009E5420">
        <w:rPr>
          <w:color w:val="auto"/>
        </w:rPr>
        <w:t xml:space="preserve">Should a former titleholder be permitted to submit risk management plans?  Please articulate why or why not. </w:t>
      </w:r>
    </w:p>
    <w:p w14:paraId="493682CD" w14:textId="77777777" w:rsidR="009E5420" w:rsidRPr="009E5420" w:rsidRDefault="009E5420" w:rsidP="009E5420">
      <w:pPr>
        <w:pStyle w:val="Heading5"/>
        <w:numPr>
          <w:ilvl w:val="0"/>
          <w:numId w:val="6"/>
        </w:numPr>
        <w:rPr>
          <w:color w:val="auto"/>
        </w:rPr>
      </w:pPr>
      <w:r w:rsidRPr="009E5420">
        <w:rPr>
          <w:color w:val="auto"/>
        </w:rPr>
        <w:t>If yes: What limits, if any, should be placed on this?</w:t>
      </w:r>
    </w:p>
    <w:p w14:paraId="4B44D5D4" w14:textId="77777777" w:rsidR="009E5420" w:rsidRPr="009E5420" w:rsidRDefault="009E5420" w:rsidP="009E5420">
      <w:pPr>
        <w:pStyle w:val="Heading5"/>
        <w:numPr>
          <w:ilvl w:val="0"/>
          <w:numId w:val="1"/>
        </w:numPr>
        <w:rPr>
          <w:color w:val="auto"/>
        </w:rPr>
      </w:pPr>
      <w:r w:rsidRPr="009E5420">
        <w:rPr>
          <w:color w:val="auto"/>
        </w:rPr>
        <w:t xml:space="preserve">Should a ‘person’ (or another entity other than a former titleholder) be permitted to submit risk management plans?  Please articulate why or why not. </w:t>
      </w:r>
    </w:p>
    <w:p w14:paraId="2ACBFA50" w14:textId="77777777" w:rsidR="009E5420" w:rsidRPr="009E5420" w:rsidRDefault="009E5420" w:rsidP="009E5420">
      <w:pPr>
        <w:pStyle w:val="Heading5"/>
        <w:numPr>
          <w:ilvl w:val="0"/>
          <w:numId w:val="6"/>
        </w:numPr>
        <w:rPr>
          <w:color w:val="auto"/>
        </w:rPr>
      </w:pPr>
      <w:r w:rsidRPr="009E5420">
        <w:rPr>
          <w:color w:val="auto"/>
        </w:rPr>
        <w:t>If yes: Who should be allowed to submit these plans?</w:t>
      </w:r>
    </w:p>
    <w:p w14:paraId="6E4E8FCC" w14:textId="77777777" w:rsidR="009E5420" w:rsidRPr="009E5420" w:rsidRDefault="009E5420" w:rsidP="009E5420">
      <w:pPr>
        <w:pStyle w:val="Heading5"/>
        <w:numPr>
          <w:ilvl w:val="0"/>
          <w:numId w:val="1"/>
        </w:numPr>
        <w:rPr>
          <w:color w:val="auto"/>
        </w:rPr>
      </w:pPr>
      <w:r w:rsidRPr="009E5420">
        <w:rPr>
          <w:color w:val="auto"/>
        </w:rPr>
        <w:t>Should a new category of title be established to enable a former titleholder to have a current title under which to undertake relevant decommissioning and remediation activities with relevant regulatory approvals? Please articulate why or why not.</w:t>
      </w:r>
    </w:p>
    <w:p w14:paraId="79F9BB14" w14:textId="56EF82EA" w:rsidR="009E5420" w:rsidRDefault="009E5420" w:rsidP="009E5420">
      <w:pPr>
        <w:pStyle w:val="Heading5"/>
        <w:numPr>
          <w:ilvl w:val="0"/>
          <w:numId w:val="6"/>
        </w:numPr>
        <w:rPr>
          <w:color w:val="auto"/>
        </w:rPr>
      </w:pPr>
      <w:r w:rsidRPr="009E5420">
        <w:rPr>
          <w:color w:val="auto"/>
        </w:rPr>
        <w:t>If yes: What limits, if any, should be placed on this?</w:t>
      </w:r>
    </w:p>
    <w:p w14:paraId="69F19595" w14:textId="77777777" w:rsidR="00316410" w:rsidRPr="00851070" w:rsidRDefault="00316410" w:rsidP="00851070">
      <w:pPr>
        <w:pStyle w:val="Heading3"/>
        <w:rPr>
          <w:sz w:val="32"/>
          <w:szCs w:val="32"/>
        </w:rPr>
      </w:pPr>
      <w:bookmarkStart w:id="53" w:name="_Toc520390603"/>
      <w:bookmarkStart w:id="54" w:name="_Toc520991895"/>
      <w:bookmarkStart w:id="55" w:name="_Toc520998347"/>
      <w:bookmarkStart w:id="56" w:name="_Toc521077507"/>
      <w:bookmarkStart w:id="57" w:name="_Toc521415146"/>
      <w:bookmarkStart w:id="58" w:name="_Toc521425847"/>
      <w:r w:rsidRPr="00851070">
        <w:rPr>
          <w:sz w:val="32"/>
          <w:szCs w:val="32"/>
        </w:rPr>
        <w:t>Circumstances for issuing remedial directions</w:t>
      </w:r>
      <w:bookmarkEnd w:id="53"/>
      <w:bookmarkEnd w:id="54"/>
      <w:bookmarkEnd w:id="55"/>
      <w:bookmarkEnd w:id="56"/>
      <w:bookmarkEnd w:id="57"/>
      <w:bookmarkEnd w:id="58"/>
    </w:p>
    <w:p w14:paraId="74047661" w14:textId="77777777" w:rsidR="00316410" w:rsidRPr="00851070" w:rsidRDefault="00316410" w:rsidP="00851070">
      <w:pPr>
        <w:pStyle w:val="Heading4"/>
        <w:rPr>
          <w:sz w:val="28"/>
          <w:szCs w:val="28"/>
        </w:rPr>
      </w:pPr>
      <w:r w:rsidRPr="00851070">
        <w:rPr>
          <w:sz w:val="28"/>
          <w:szCs w:val="28"/>
        </w:rPr>
        <w:t>5.3 Issue and opportunity</w:t>
      </w:r>
    </w:p>
    <w:p w14:paraId="6A3E4DBD" w14:textId="77777777" w:rsidR="00316410" w:rsidRPr="00851070" w:rsidRDefault="00316410" w:rsidP="00851070">
      <w:pPr>
        <w:pStyle w:val="Heading5"/>
        <w:numPr>
          <w:ilvl w:val="0"/>
          <w:numId w:val="3"/>
        </w:numPr>
        <w:rPr>
          <w:color w:val="auto"/>
        </w:rPr>
      </w:pPr>
      <w:r w:rsidRPr="00851070">
        <w:rPr>
          <w:color w:val="auto"/>
        </w:rPr>
        <w:t>5.3.1 Remedial directions cannot be issued to former titleholders in some circumstances</w:t>
      </w:r>
    </w:p>
    <w:p w14:paraId="4D191368" w14:textId="77777777" w:rsidR="00316410" w:rsidRPr="00851070" w:rsidRDefault="00316410" w:rsidP="00851070">
      <w:pPr>
        <w:pStyle w:val="Heading4"/>
        <w:rPr>
          <w:sz w:val="28"/>
          <w:szCs w:val="28"/>
        </w:rPr>
      </w:pPr>
      <w:bookmarkStart w:id="59" w:name="_Toc454521741"/>
      <w:bookmarkStart w:id="60" w:name="_Toc454522484"/>
      <w:bookmarkStart w:id="61" w:name="_Toc454548043"/>
      <w:bookmarkStart w:id="62" w:name="_Toc454548327"/>
      <w:bookmarkStart w:id="63" w:name="_Toc454550268"/>
      <w:bookmarkStart w:id="64" w:name="_Toc455501016"/>
      <w:bookmarkStart w:id="65" w:name="_Toc455504980"/>
      <w:bookmarkStart w:id="66" w:name="_Toc459993845"/>
      <w:bookmarkStart w:id="67" w:name="_Toc461798417"/>
      <w:bookmarkStart w:id="68" w:name="_Toc465691150"/>
      <w:bookmarkStart w:id="69" w:name="_Toc467684083"/>
      <w:bookmarkStart w:id="70" w:name="_Toc467772197"/>
      <w:bookmarkStart w:id="71" w:name="_Toc467841737"/>
      <w:bookmarkStart w:id="72" w:name="_Toc467857041"/>
      <w:r w:rsidRPr="00851070">
        <w:rPr>
          <w:sz w:val="28"/>
          <w:szCs w:val="28"/>
        </w:rPr>
        <w:t xml:space="preserve">5.4 Potential </w:t>
      </w:r>
      <w:bookmarkEnd w:id="59"/>
      <w:bookmarkEnd w:id="60"/>
      <w:bookmarkEnd w:id="61"/>
      <w:bookmarkEnd w:id="62"/>
      <w:bookmarkEnd w:id="63"/>
      <w:bookmarkEnd w:id="64"/>
      <w:bookmarkEnd w:id="65"/>
      <w:bookmarkEnd w:id="66"/>
      <w:bookmarkEnd w:id="67"/>
      <w:bookmarkEnd w:id="68"/>
      <w:bookmarkEnd w:id="69"/>
      <w:bookmarkEnd w:id="70"/>
      <w:bookmarkEnd w:id="71"/>
      <w:bookmarkEnd w:id="72"/>
      <w:r w:rsidRPr="00851070">
        <w:rPr>
          <w:sz w:val="28"/>
          <w:szCs w:val="28"/>
        </w:rPr>
        <w:t>option</w:t>
      </w:r>
    </w:p>
    <w:p w14:paraId="560A6934" w14:textId="77777777" w:rsidR="00316410" w:rsidRPr="00851070" w:rsidRDefault="00316410" w:rsidP="00851070">
      <w:pPr>
        <w:pStyle w:val="Heading5"/>
        <w:numPr>
          <w:ilvl w:val="0"/>
          <w:numId w:val="3"/>
        </w:numPr>
        <w:rPr>
          <w:color w:val="auto"/>
        </w:rPr>
      </w:pPr>
      <w:bookmarkStart w:id="73" w:name="_Toc454521742"/>
      <w:bookmarkStart w:id="74" w:name="_Toc454522485"/>
      <w:bookmarkStart w:id="75" w:name="_Toc454548044"/>
      <w:bookmarkStart w:id="76" w:name="_Toc454548328"/>
      <w:bookmarkStart w:id="77" w:name="_Toc454550269"/>
      <w:bookmarkStart w:id="78" w:name="_Toc455501017"/>
      <w:bookmarkStart w:id="79" w:name="_Toc455504981"/>
      <w:bookmarkStart w:id="80" w:name="_Toc459993846"/>
      <w:bookmarkStart w:id="81" w:name="_Toc461798418"/>
      <w:bookmarkStart w:id="82" w:name="_Toc465691151"/>
      <w:bookmarkStart w:id="83" w:name="_Toc467684084"/>
      <w:bookmarkStart w:id="84" w:name="_Toc467772198"/>
      <w:bookmarkStart w:id="85" w:name="_Toc467841738"/>
      <w:bookmarkStart w:id="86" w:name="_Toc467857042"/>
      <w:r w:rsidRPr="00851070">
        <w:rPr>
          <w:color w:val="auto"/>
        </w:rPr>
        <w:t>5.4.1 Ensure remedial directions can be issued to all former titleholders</w:t>
      </w:r>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6459172C" w14:textId="77777777" w:rsidR="00851070" w:rsidRPr="0043766D" w:rsidRDefault="00851070" w:rsidP="00851070">
      <w:pPr>
        <w:pStyle w:val="Heading4"/>
        <w:rPr>
          <w:sz w:val="28"/>
          <w:szCs w:val="28"/>
        </w:rPr>
      </w:pPr>
      <w:r w:rsidRPr="0043766D">
        <w:rPr>
          <w:sz w:val="28"/>
          <w:szCs w:val="28"/>
        </w:rPr>
        <w:t>Question</w:t>
      </w:r>
      <w:r>
        <w:rPr>
          <w:sz w:val="28"/>
          <w:szCs w:val="28"/>
        </w:rPr>
        <w:t>s</w:t>
      </w:r>
    </w:p>
    <w:p w14:paraId="2307D6FE" w14:textId="77777777" w:rsidR="00316410" w:rsidRPr="00851070" w:rsidRDefault="00316410" w:rsidP="00851070">
      <w:pPr>
        <w:pStyle w:val="Heading5"/>
        <w:numPr>
          <w:ilvl w:val="0"/>
          <w:numId w:val="1"/>
        </w:numPr>
        <w:rPr>
          <w:b/>
          <w:color w:val="auto"/>
          <w:sz w:val="20"/>
          <w:szCs w:val="20"/>
        </w:rPr>
      </w:pPr>
      <w:r w:rsidRPr="00851070">
        <w:rPr>
          <w:color w:val="auto"/>
        </w:rPr>
        <w:t xml:space="preserve">Should NOPSEMA and the Minister be permitted to issue remedial directions to </w:t>
      </w:r>
      <w:r w:rsidRPr="00851070">
        <w:rPr>
          <w:i/>
          <w:color w:val="auto"/>
        </w:rPr>
        <w:t>all</w:t>
      </w:r>
      <w:r w:rsidRPr="00851070">
        <w:rPr>
          <w:color w:val="auto"/>
        </w:rPr>
        <w:t xml:space="preserve"> former titleholders?</w:t>
      </w:r>
      <w:r w:rsidRPr="00851070">
        <w:rPr>
          <w:b/>
          <w:color w:val="auto"/>
          <w:sz w:val="20"/>
          <w:szCs w:val="20"/>
        </w:rPr>
        <w:t xml:space="preserve"> </w:t>
      </w:r>
    </w:p>
    <w:p w14:paraId="1F73AFA1" w14:textId="788B0C6A" w:rsidR="00316410" w:rsidRPr="00851070" w:rsidRDefault="00316410" w:rsidP="00316410">
      <w:pPr>
        <w:pStyle w:val="Heading5"/>
        <w:numPr>
          <w:ilvl w:val="0"/>
          <w:numId w:val="6"/>
        </w:numPr>
        <w:rPr>
          <w:color w:val="auto"/>
          <w:sz w:val="21"/>
          <w:szCs w:val="21"/>
        </w:rPr>
      </w:pPr>
      <w:r w:rsidRPr="00744BDA">
        <w:rPr>
          <w:color w:val="auto"/>
          <w:sz w:val="21"/>
          <w:szCs w:val="21"/>
        </w:rPr>
        <w:t>Note</w:t>
      </w:r>
      <w:r w:rsidRPr="00851070">
        <w:rPr>
          <w:b/>
          <w:color w:val="auto"/>
          <w:sz w:val="21"/>
          <w:szCs w:val="21"/>
        </w:rPr>
        <w:t xml:space="preserve">: </w:t>
      </w:r>
      <w:r w:rsidRPr="00851070">
        <w:rPr>
          <w:color w:val="auto"/>
          <w:sz w:val="21"/>
          <w:szCs w:val="21"/>
        </w:rPr>
        <w:t xml:space="preserve">This would be regardless of </w:t>
      </w:r>
      <w:r w:rsidRPr="00851070">
        <w:rPr>
          <w:color w:val="auto"/>
          <w:sz w:val="21"/>
          <w:szCs w:val="21"/>
          <w:u w:val="single"/>
        </w:rPr>
        <w:t>how</w:t>
      </w:r>
      <w:r w:rsidRPr="00851070">
        <w:rPr>
          <w:color w:val="auto"/>
          <w:sz w:val="21"/>
          <w:szCs w:val="21"/>
        </w:rPr>
        <w:t xml:space="preserve"> the relevant title came to an end (e.g. including surrender and transfer), and </w:t>
      </w:r>
      <w:r w:rsidRPr="00851070">
        <w:rPr>
          <w:color w:val="auto"/>
          <w:sz w:val="21"/>
          <w:szCs w:val="21"/>
          <w:u w:val="single"/>
        </w:rPr>
        <w:t>where</w:t>
      </w:r>
      <w:r w:rsidRPr="00851070">
        <w:rPr>
          <w:color w:val="auto"/>
          <w:sz w:val="21"/>
          <w:szCs w:val="21"/>
        </w:rPr>
        <w:t xml:space="preserve"> in the chain of ownership the relevant titleholder sits.</w:t>
      </w:r>
    </w:p>
    <w:p w14:paraId="7A7A4A89" w14:textId="2D7028BF" w:rsidR="00316410" w:rsidRPr="00D6073F" w:rsidRDefault="00D6073F" w:rsidP="00D6073F">
      <w:pPr>
        <w:pStyle w:val="Heading2"/>
        <w:spacing w:before="360" w:after="120"/>
      </w:pPr>
      <w:bookmarkStart w:id="87" w:name="_Toc521077508"/>
      <w:bookmarkStart w:id="88" w:name="_Toc521415147"/>
      <w:bookmarkStart w:id="89" w:name="_Toc521425848"/>
      <w:bookmarkStart w:id="90" w:name="_Toc521077510"/>
      <w:bookmarkStart w:id="91" w:name="_Toc521415149"/>
      <w:bookmarkStart w:id="92" w:name="_Toc521425850"/>
      <w:bookmarkEnd w:id="87"/>
      <w:bookmarkEnd w:id="88"/>
      <w:bookmarkEnd w:id="89"/>
      <w:r>
        <w:lastRenderedPageBreak/>
        <w:t>6</w:t>
      </w:r>
      <w:r w:rsidR="00316410">
        <w:t>. Other issues and opportunities</w:t>
      </w:r>
      <w:bookmarkEnd w:id="90"/>
      <w:bookmarkEnd w:id="91"/>
      <w:bookmarkEnd w:id="92"/>
    </w:p>
    <w:p w14:paraId="408A767C" w14:textId="77777777" w:rsidR="00316410" w:rsidRPr="00851070" w:rsidRDefault="00316410" w:rsidP="00851070">
      <w:pPr>
        <w:pStyle w:val="Heading3"/>
        <w:rPr>
          <w:sz w:val="32"/>
          <w:szCs w:val="32"/>
        </w:rPr>
      </w:pPr>
      <w:bookmarkStart w:id="93" w:name="_Toc520390607"/>
      <w:bookmarkStart w:id="94" w:name="_Toc520991899"/>
      <w:bookmarkStart w:id="95" w:name="_Toc520998351"/>
      <w:bookmarkStart w:id="96" w:name="_Toc521077511"/>
      <w:bookmarkStart w:id="97" w:name="_Toc521415150"/>
      <w:bookmarkStart w:id="98" w:name="_Toc521425851"/>
      <w:r w:rsidRPr="00851070">
        <w:rPr>
          <w:sz w:val="32"/>
          <w:szCs w:val="32"/>
        </w:rPr>
        <w:t>Research and collaboration</w:t>
      </w:r>
      <w:bookmarkEnd w:id="93"/>
      <w:bookmarkEnd w:id="94"/>
      <w:bookmarkEnd w:id="95"/>
      <w:bookmarkEnd w:id="96"/>
      <w:bookmarkEnd w:id="97"/>
      <w:bookmarkEnd w:id="98"/>
    </w:p>
    <w:p w14:paraId="07D54942" w14:textId="7A802A82" w:rsidR="00D6073F" w:rsidRDefault="00D6073F" w:rsidP="00D6073F">
      <w:pPr>
        <w:pStyle w:val="Heading4"/>
        <w:rPr>
          <w:sz w:val="28"/>
          <w:szCs w:val="28"/>
        </w:rPr>
      </w:pPr>
      <w:bookmarkStart w:id="99" w:name="_7.1_Issues_and"/>
      <w:bookmarkEnd w:id="99"/>
      <w:r>
        <w:rPr>
          <w:sz w:val="28"/>
          <w:szCs w:val="28"/>
        </w:rPr>
        <w:t xml:space="preserve">6.1 </w:t>
      </w:r>
      <w:r w:rsidRPr="00851070">
        <w:rPr>
          <w:sz w:val="28"/>
          <w:szCs w:val="28"/>
        </w:rPr>
        <w:t>Issue</w:t>
      </w:r>
      <w:r>
        <w:rPr>
          <w:sz w:val="28"/>
          <w:szCs w:val="28"/>
        </w:rPr>
        <w:t>s and opportunities</w:t>
      </w:r>
    </w:p>
    <w:p w14:paraId="16909DED" w14:textId="77777777" w:rsidR="00D6073F" w:rsidRDefault="00D6073F" w:rsidP="00D6073F">
      <w:pPr>
        <w:pStyle w:val="Heading5"/>
        <w:numPr>
          <w:ilvl w:val="0"/>
          <w:numId w:val="3"/>
        </w:numPr>
        <w:rPr>
          <w:color w:val="auto"/>
        </w:rPr>
      </w:pPr>
      <w:r w:rsidRPr="00D6073F">
        <w:rPr>
          <w:color w:val="auto"/>
        </w:rPr>
        <w:t>6.1.1 Research</w:t>
      </w:r>
    </w:p>
    <w:p w14:paraId="5AA878EA" w14:textId="45074AC3" w:rsidR="00D6073F" w:rsidRPr="00D6073F" w:rsidRDefault="00D6073F" w:rsidP="00D6073F">
      <w:pPr>
        <w:pStyle w:val="Heading5"/>
        <w:numPr>
          <w:ilvl w:val="0"/>
          <w:numId w:val="3"/>
        </w:numPr>
        <w:rPr>
          <w:color w:val="auto"/>
        </w:rPr>
      </w:pPr>
      <w:r w:rsidRPr="00D6073F">
        <w:rPr>
          <w:color w:val="auto"/>
        </w:rPr>
        <w:t>6.1.2 Collaboration</w:t>
      </w:r>
    </w:p>
    <w:p w14:paraId="781B15CC" w14:textId="0EF7FCC3" w:rsidR="00D6073F" w:rsidRDefault="00D6073F" w:rsidP="00D6073F">
      <w:pPr>
        <w:pStyle w:val="Heading5"/>
        <w:numPr>
          <w:ilvl w:val="0"/>
          <w:numId w:val="3"/>
        </w:numPr>
        <w:rPr>
          <w:color w:val="auto"/>
        </w:rPr>
      </w:pPr>
      <w:r w:rsidRPr="00D6073F">
        <w:rPr>
          <w:color w:val="auto"/>
        </w:rPr>
        <w:t>6.1.3 Current Australian collaboration and research</w:t>
      </w:r>
    </w:p>
    <w:p w14:paraId="02314175" w14:textId="77777777" w:rsidR="00D6073F" w:rsidRPr="0043766D" w:rsidRDefault="00D6073F" w:rsidP="00D6073F">
      <w:pPr>
        <w:pStyle w:val="Heading4"/>
        <w:spacing w:before="120" w:after="120"/>
        <w:rPr>
          <w:sz w:val="28"/>
          <w:szCs w:val="28"/>
        </w:rPr>
      </w:pPr>
      <w:r w:rsidRPr="0043766D">
        <w:rPr>
          <w:sz w:val="28"/>
          <w:szCs w:val="28"/>
        </w:rPr>
        <w:t>Question</w:t>
      </w:r>
      <w:r>
        <w:rPr>
          <w:sz w:val="28"/>
          <w:szCs w:val="28"/>
        </w:rPr>
        <w:t>s</w:t>
      </w:r>
    </w:p>
    <w:p w14:paraId="7F118DA7" w14:textId="77777777" w:rsidR="00D6073F" w:rsidRPr="00D6073F" w:rsidRDefault="00D6073F" w:rsidP="00D6073F">
      <w:pPr>
        <w:pStyle w:val="Heading5"/>
        <w:numPr>
          <w:ilvl w:val="0"/>
          <w:numId w:val="1"/>
        </w:numPr>
        <w:rPr>
          <w:color w:val="auto"/>
        </w:rPr>
      </w:pPr>
      <w:r w:rsidRPr="00D6073F">
        <w:rPr>
          <w:color w:val="auto"/>
        </w:rPr>
        <w:t xml:space="preserve">Is there additional research (and/or development) being undertaken relevant to decommissioning that government should be aware of? </w:t>
      </w:r>
    </w:p>
    <w:p w14:paraId="5F74299D" w14:textId="181FF876" w:rsidR="00D6073F" w:rsidRPr="00D6073F" w:rsidRDefault="00D6073F" w:rsidP="00D6073F">
      <w:pPr>
        <w:pStyle w:val="Heading5"/>
        <w:numPr>
          <w:ilvl w:val="0"/>
          <w:numId w:val="6"/>
        </w:numPr>
        <w:rPr>
          <w:color w:val="auto"/>
        </w:rPr>
      </w:pPr>
      <w:r w:rsidRPr="00D6073F">
        <w:rPr>
          <w:color w:val="auto"/>
        </w:rPr>
        <w:t xml:space="preserve">If yes: What research/development is being undertaken and by whom? What is the timeframe for this research/development? Will the results be made public and if so how/where? Please </w:t>
      </w:r>
      <w:r w:rsidR="003B08E0">
        <w:rPr>
          <w:color w:val="auto"/>
        </w:rPr>
        <w:t>provide details</w:t>
      </w:r>
      <w:r w:rsidRPr="00D6073F">
        <w:rPr>
          <w:color w:val="auto"/>
        </w:rPr>
        <w:t>.</w:t>
      </w:r>
    </w:p>
    <w:p w14:paraId="066D663F" w14:textId="4133438A" w:rsidR="00D6073F" w:rsidRPr="00D6073F" w:rsidRDefault="00D6073F" w:rsidP="00D6073F">
      <w:pPr>
        <w:pStyle w:val="Heading5"/>
        <w:numPr>
          <w:ilvl w:val="0"/>
          <w:numId w:val="1"/>
        </w:numPr>
        <w:rPr>
          <w:color w:val="auto"/>
        </w:rPr>
      </w:pPr>
      <w:r w:rsidRPr="00D6073F">
        <w:rPr>
          <w:color w:val="auto"/>
        </w:rPr>
        <w:t xml:space="preserve">Is there additional research that should be undertaken on decommissioning, and in particular on environmental standards? Please </w:t>
      </w:r>
      <w:r w:rsidR="003B08E0">
        <w:rPr>
          <w:color w:val="auto"/>
        </w:rPr>
        <w:t>provide details</w:t>
      </w:r>
      <w:r w:rsidRPr="00D6073F">
        <w:rPr>
          <w:color w:val="auto"/>
        </w:rPr>
        <w:t>.</w:t>
      </w:r>
    </w:p>
    <w:p w14:paraId="2DF83C2E" w14:textId="77777777" w:rsidR="00D6073F" w:rsidRPr="00D6073F" w:rsidRDefault="00D6073F" w:rsidP="00D6073F">
      <w:pPr>
        <w:pStyle w:val="Heading5"/>
        <w:numPr>
          <w:ilvl w:val="0"/>
          <w:numId w:val="6"/>
        </w:numPr>
        <w:rPr>
          <w:color w:val="auto"/>
        </w:rPr>
      </w:pPr>
      <w:r w:rsidRPr="00D6073F">
        <w:rPr>
          <w:color w:val="auto"/>
        </w:rPr>
        <w:t>If yes: What areas should be researched? Should government be involved? Which entities should be involved and what should their roles be?</w:t>
      </w:r>
    </w:p>
    <w:p w14:paraId="7D4DF091" w14:textId="7BF1F57C" w:rsidR="00D6073F" w:rsidRPr="00D6073F" w:rsidRDefault="00D6073F" w:rsidP="00D6073F">
      <w:pPr>
        <w:pStyle w:val="Heading5"/>
        <w:numPr>
          <w:ilvl w:val="0"/>
          <w:numId w:val="1"/>
        </w:numPr>
        <w:rPr>
          <w:color w:val="auto"/>
        </w:rPr>
      </w:pPr>
      <w:r w:rsidRPr="00D6073F">
        <w:rPr>
          <w:color w:val="auto"/>
        </w:rPr>
        <w:t>Should more be done to encourage industry collaboration to help ensure that options for the continued use of offshore petroleum infrastructure in Commonwealth waters are explored prior to its decommissioning? Please articulate why or why not.</w:t>
      </w:r>
    </w:p>
    <w:p w14:paraId="48CDC05A" w14:textId="110CD7D7" w:rsidR="00D6073F" w:rsidRPr="00D6073F" w:rsidRDefault="00D6073F" w:rsidP="00D6073F">
      <w:pPr>
        <w:pStyle w:val="Heading5"/>
        <w:numPr>
          <w:ilvl w:val="0"/>
          <w:numId w:val="6"/>
        </w:numPr>
        <w:rPr>
          <w:color w:val="auto"/>
        </w:rPr>
      </w:pPr>
      <w:r w:rsidRPr="00D6073F">
        <w:rPr>
          <w:color w:val="auto"/>
        </w:rPr>
        <w:t>If yes: What are the current barriers to collaboration? What is suggested to break these down? Who should be responsible for this? Should government be involved? If so, how?</w:t>
      </w:r>
    </w:p>
    <w:p w14:paraId="0DD2A87B" w14:textId="0CFD1807" w:rsidR="00D6073F" w:rsidRPr="00851070" w:rsidRDefault="00D6073F" w:rsidP="00D6073F">
      <w:pPr>
        <w:pStyle w:val="Heading3"/>
        <w:rPr>
          <w:sz w:val="32"/>
          <w:szCs w:val="32"/>
        </w:rPr>
      </w:pPr>
      <w:r w:rsidRPr="00D6073F">
        <w:rPr>
          <w:sz w:val="32"/>
          <w:szCs w:val="32"/>
        </w:rPr>
        <w:t>Decommissioning market opportunities</w:t>
      </w:r>
    </w:p>
    <w:p w14:paraId="3D74247C" w14:textId="77777777" w:rsidR="00D6073F" w:rsidRPr="0043766D" w:rsidRDefault="00D6073F" w:rsidP="00D6073F">
      <w:pPr>
        <w:pStyle w:val="Heading4"/>
        <w:spacing w:before="120" w:after="120"/>
        <w:rPr>
          <w:sz w:val="28"/>
          <w:szCs w:val="28"/>
        </w:rPr>
      </w:pPr>
      <w:r w:rsidRPr="0043766D">
        <w:rPr>
          <w:sz w:val="28"/>
          <w:szCs w:val="28"/>
        </w:rPr>
        <w:t>Question</w:t>
      </w:r>
      <w:r>
        <w:rPr>
          <w:sz w:val="28"/>
          <w:szCs w:val="28"/>
        </w:rPr>
        <w:t>s</w:t>
      </w:r>
    </w:p>
    <w:p w14:paraId="3880AFA0" w14:textId="77777777" w:rsidR="00D6073F" w:rsidRPr="00D6073F" w:rsidRDefault="00D6073F" w:rsidP="00D6073F">
      <w:pPr>
        <w:pStyle w:val="Heading5"/>
        <w:numPr>
          <w:ilvl w:val="0"/>
          <w:numId w:val="1"/>
        </w:numPr>
        <w:rPr>
          <w:color w:val="auto"/>
        </w:rPr>
      </w:pPr>
      <w:r w:rsidRPr="00D6073F">
        <w:rPr>
          <w:color w:val="auto"/>
        </w:rPr>
        <w:t xml:space="preserve">Is there interest and merit in creating an Australian offshore petroleum decommissioning industry? Please articulate why or why not. </w:t>
      </w:r>
    </w:p>
    <w:p w14:paraId="3BDE5522" w14:textId="77777777" w:rsidR="00D6073F" w:rsidRPr="00D6073F" w:rsidRDefault="00D6073F" w:rsidP="00D6073F">
      <w:pPr>
        <w:pStyle w:val="Heading5"/>
        <w:numPr>
          <w:ilvl w:val="0"/>
          <w:numId w:val="6"/>
        </w:numPr>
        <w:rPr>
          <w:color w:val="auto"/>
        </w:rPr>
      </w:pPr>
      <w:r w:rsidRPr="00D6073F">
        <w:rPr>
          <w:color w:val="auto"/>
        </w:rPr>
        <w:t xml:space="preserve">If yes: What opportunities are there? Should government be involved in establishing this industry and, if so, how?  </w:t>
      </w:r>
    </w:p>
    <w:p w14:paraId="6049A5DB" w14:textId="0E5357B3" w:rsidR="00D6073F" w:rsidRPr="00D6073F" w:rsidRDefault="00D6073F" w:rsidP="00D6073F">
      <w:pPr>
        <w:pStyle w:val="Heading5"/>
        <w:numPr>
          <w:ilvl w:val="0"/>
          <w:numId w:val="6"/>
        </w:numPr>
        <w:rPr>
          <w:color w:val="auto"/>
        </w:rPr>
      </w:pPr>
      <w:r w:rsidRPr="00D6073F">
        <w:rPr>
          <w:color w:val="auto"/>
        </w:rPr>
        <w:t>Offshore petroleum industry: noting your participation and lead would be crucial, what is your appetite for being involved in and supporting the development of an Australian offshore petroleum decommissioning industry? Please outline potential methods for involvement and resources you might be willing to contribute.</w:t>
      </w:r>
    </w:p>
    <w:p w14:paraId="31453DEE" w14:textId="50029469" w:rsidR="00D6073F" w:rsidRPr="00D6073F" w:rsidRDefault="00D6073F" w:rsidP="00D6073F">
      <w:pPr>
        <w:pStyle w:val="Heading3"/>
        <w:rPr>
          <w:sz w:val="32"/>
          <w:szCs w:val="32"/>
        </w:rPr>
      </w:pPr>
      <w:bookmarkStart w:id="100" w:name="_Toc523228907"/>
      <w:r w:rsidRPr="00D6073F">
        <w:rPr>
          <w:sz w:val="32"/>
          <w:szCs w:val="32"/>
        </w:rPr>
        <w:t>Broader decommissioning issues and opportunities</w:t>
      </w:r>
      <w:bookmarkEnd w:id="100"/>
    </w:p>
    <w:p w14:paraId="6DF069B6" w14:textId="77777777" w:rsidR="00851070" w:rsidRPr="0043766D" w:rsidRDefault="00851070" w:rsidP="00851070">
      <w:pPr>
        <w:pStyle w:val="Heading4"/>
        <w:rPr>
          <w:sz w:val="28"/>
          <w:szCs w:val="28"/>
        </w:rPr>
      </w:pPr>
      <w:r w:rsidRPr="0043766D">
        <w:rPr>
          <w:sz w:val="28"/>
          <w:szCs w:val="28"/>
        </w:rPr>
        <w:t>Question</w:t>
      </w:r>
      <w:r>
        <w:rPr>
          <w:sz w:val="28"/>
          <w:szCs w:val="28"/>
        </w:rPr>
        <w:t>s</w:t>
      </w:r>
    </w:p>
    <w:p w14:paraId="685C1D2F" w14:textId="4E60397D" w:rsidR="00316410" w:rsidRPr="00D6073F" w:rsidRDefault="00D6073F" w:rsidP="00D6073F">
      <w:pPr>
        <w:pStyle w:val="Heading5"/>
        <w:numPr>
          <w:ilvl w:val="0"/>
          <w:numId w:val="1"/>
        </w:numPr>
        <w:rPr>
          <w:color w:val="auto"/>
        </w:rPr>
      </w:pPr>
      <w:r w:rsidRPr="00D6073F">
        <w:rPr>
          <w:color w:val="auto"/>
        </w:rPr>
        <w:t>Are there other issues relating to decommissioning that are not covered in this discussion paper and you think it is appropriate for government to be involved in?</w:t>
      </w:r>
    </w:p>
    <w:p w14:paraId="541EFFE4" w14:textId="7FDAC703" w:rsidR="00316410" w:rsidRPr="00D6073F" w:rsidRDefault="00D6073F" w:rsidP="00D6073F">
      <w:pPr>
        <w:pStyle w:val="Heading5"/>
        <w:numPr>
          <w:ilvl w:val="0"/>
          <w:numId w:val="6"/>
        </w:numPr>
        <w:rPr>
          <w:color w:val="auto"/>
        </w:rPr>
      </w:pPr>
      <w:r w:rsidRPr="00D6073F">
        <w:rPr>
          <w:color w:val="auto"/>
        </w:rPr>
        <w:t>If yes: What are they? What is the suggested government involvement?</w:t>
      </w:r>
    </w:p>
    <w:sectPr w:rsidR="00316410" w:rsidRPr="00D6073F">
      <w:headerReference w:type="default" r:id="rId11"/>
      <w:footerReference w:type="defaul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348A93" w14:textId="77777777" w:rsidR="002338CC" w:rsidRDefault="002338CC" w:rsidP="002338CC">
      <w:pPr>
        <w:spacing w:after="0" w:line="240" w:lineRule="auto"/>
      </w:pPr>
      <w:r>
        <w:separator/>
      </w:r>
    </w:p>
  </w:endnote>
  <w:endnote w:type="continuationSeparator" w:id="0">
    <w:p w14:paraId="73F23341" w14:textId="77777777" w:rsidR="002338CC" w:rsidRDefault="002338CC" w:rsidP="002338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5C6484" w14:textId="718C1202" w:rsidR="00A11F65" w:rsidRDefault="00A11F65" w:rsidP="00A11F65">
    <w:pPr>
      <w:pStyle w:val="Footer"/>
      <w:jc w:val="center"/>
      <w:rPr>
        <w:lang w:val="en-US"/>
      </w:rPr>
    </w:pPr>
    <w:r>
      <w:rPr>
        <w:lang w:val="en-US"/>
      </w:rPr>
      <w:t>For Official Use Only</w:t>
    </w:r>
  </w:p>
  <w:p w14:paraId="772D0DA0" w14:textId="77777777" w:rsidR="00A11F65" w:rsidRDefault="00A11F65" w:rsidP="00A11F65">
    <w:pPr>
      <w:pStyle w:val="Footer"/>
      <w:jc w:val="center"/>
    </w:pPr>
  </w:p>
  <w:p w14:paraId="3892D492" w14:textId="77777777" w:rsidR="002338CC" w:rsidRDefault="002338CC" w:rsidP="002338CC">
    <w:pPr>
      <w:pStyle w:val="Footer"/>
      <w:jc w:val="right"/>
    </w:pPr>
    <w:r>
      <w:t>Decommissioning Discussion Paper</w:t>
    </w:r>
    <w:r>
      <w:tab/>
      <w:t>industry.gov.au</w:t>
    </w:r>
    <w:r>
      <w:tab/>
    </w:r>
    <w:sdt>
      <w:sdtPr>
        <w:id w:val="-1551381060"/>
        <w:docPartObj>
          <w:docPartGallery w:val="Page Numbers (Bottom of Page)"/>
          <w:docPartUnique/>
        </w:docPartObj>
      </w:sdtPr>
      <w:sdtEndPr>
        <w:rPr>
          <w:noProof/>
        </w:rPr>
      </w:sdtEndPr>
      <w:sdtContent>
        <w:r>
          <w:fldChar w:fldCharType="begin"/>
        </w:r>
        <w:r>
          <w:instrText xml:space="preserve"> PAGE   \* MERGEFORMAT </w:instrText>
        </w:r>
        <w:r>
          <w:fldChar w:fldCharType="separate"/>
        </w:r>
        <w:r w:rsidR="00BA1CF0">
          <w:rPr>
            <w:noProof/>
          </w:rPr>
          <w:t>5</w:t>
        </w:r>
        <w:r>
          <w:rPr>
            <w:noProof/>
          </w:rPr>
          <w:fldChar w:fldCharType="end"/>
        </w:r>
      </w:sdtContent>
    </w:sdt>
  </w:p>
  <w:p w14:paraId="2A17759A" w14:textId="77777777" w:rsidR="00A11F65" w:rsidRDefault="00A11F65" w:rsidP="002338C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717EA9" w14:textId="77777777" w:rsidR="002338CC" w:rsidRDefault="002338CC" w:rsidP="002338CC">
      <w:pPr>
        <w:spacing w:after="0" w:line="240" w:lineRule="auto"/>
      </w:pPr>
      <w:r>
        <w:separator/>
      </w:r>
    </w:p>
  </w:footnote>
  <w:footnote w:type="continuationSeparator" w:id="0">
    <w:p w14:paraId="3C2C1458" w14:textId="77777777" w:rsidR="002338CC" w:rsidRDefault="002338CC" w:rsidP="002338C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60C1A6" w14:textId="47A162DC" w:rsidR="00536275" w:rsidRPr="00A11F65" w:rsidRDefault="00A11F65" w:rsidP="00A11F65">
    <w:pPr>
      <w:pStyle w:val="Header"/>
      <w:jc w:val="center"/>
      <w:rPr>
        <w:lang w:val="en-US"/>
      </w:rPr>
    </w:pPr>
    <w:bookmarkStart w:id="101" w:name="_Toc514681430"/>
    <w:r>
      <w:rPr>
        <w:lang w:val="en-US"/>
      </w:rPr>
      <w:t>For Official Use Only</w:t>
    </w:r>
  </w:p>
  <w:bookmarkEnd w:id="101"/>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823704"/>
    <w:multiLevelType w:val="hybridMultilevel"/>
    <w:tmpl w:val="78DCFD88"/>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 w15:restartNumberingAfterBreak="0">
    <w:nsid w:val="24BA2DAB"/>
    <w:multiLevelType w:val="hybridMultilevel"/>
    <w:tmpl w:val="630C32AA"/>
    <w:lvl w:ilvl="0" w:tplc="68E6D72C">
      <w:start w:val="1"/>
      <w:numFmt w:val="bullet"/>
      <w:lvlText w:val=""/>
      <w:lvlJc w:val="left"/>
      <w:pPr>
        <w:ind w:left="720" w:hanging="360"/>
      </w:pPr>
      <w:rPr>
        <w:rFonts w:ascii="Symbol" w:hAnsi="Symbol" w:hint="default"/>
        <w:color w:val="5B9BD5" w:themeColor="accent1"/>
      </w:rPr>
    </w:lvl>
    <w:lvl w:ilvl="1" w:tplc="21E8437E">
      <w:start w:val="1"/>
      <w:numFmt w:val="bullet"/>
      <w:lvlText w:val="-"/>
      <w:lvlJc w:val="left"/>
      <w:pPr>
        <w:ind w:left="1440" w:hanging="360"/>
      </w:pPr>
      <w:rPr>
        <w:rFonts w:ascii="Courier New" w:hAnsi="Courier New" w:hint="default"/>
        <w:color w:val="5B9BD5" w:themeColor="accent1"/>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442F7F00"/>
    <w:multiLevelType w:val="multilevel"/>
    <w:tmpl w:val="E098CD0A"/>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4FC0495D"/>
    <w:multiLevelType w:val="hybridMultilevel"/>
    <w:tmpl w:val="9A4A8852"/>
    <w:lvl w:ilvl="0" w:tplc="1E8894F0">
      <w:start w:val="1"/>
      <w:numFmt w:val="decimal"/>
      <w:lvlText w:val="%1."/>
      <w:lvlJc w:val="left"/>
      <w:pPr>
        <w:ind w:left="720" w:hanging="360"/>
      </w:pPr>
      <w:rPr>
        <w:b w:val="0"/>
        <w:color w:val="auto"/>
      </w:r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 w15:restartNumberingAfterBreak="0">
    <w:nsid w:val="545C0A09"/>
    <w:multiLevelType w:val="hybridMultilevel"/>
    <w:tmpl w:val="78DCFD88"/>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 w15:restartNumberingAfterBreak="0">
    <w:nsid w:val="58481D36"/>
    <w:multiLevelType w:val="hybridMultilevel"/>
    <w:tmpl w:val="78DCFD88"/>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 w15:restartNumberingAfterBreak="0">
    <w:nsid w:val="59B11BB1"/>
    <w:multiLevelType w:val="hybridMultilevel"/>
    <w:tmpl w:val="21CE2672"/>
    <w:lvl w:ilvl="0" w:tplc="21E8437E">
      <w:start w:val="1"/>
      <w:numFmt w:val="bullet"/>
      <w:lvlText w:val="-"/>
      <w:lvlJc w:val="left"/>
      <w:pPr>
        <w:ind w:left="502" w:hanging="360"/>
      </w:pPr>
      <w:rPr>
        <w:rFonts w:ascii="Courier New" w:hAnsi="Courier New" w:hint="default"/>
        <w:color w:val="5B9BD5" w:themeColor="accent1"/>
      </w:rPr>
    </w:lvl>
    <w:lvl w:ilvl="1" w:tplc="0C090003" w:tentative="1">
      <w:start w:val="1"/>
      <w:numFmt w:val="bullet"/>
      <w:lvlText w:val="o"/>
      <w:lvlJc w:val="left"/>
      <w:pPr>
        <w:ind w:left="1648" w:hanging="360"/>
      </w:pPr>
      <w:rPr>
        <w:rFonts w:ascii="Courier New" w:hAnsi="Courier New" w:cs="Courier New" w:hint="default"/>
      </w:rPr>
    </w:lvl>
    <w:lvl w:ilvl="2" w:tplc="0C090005" w:tentative="1">
      <w:start w:val="1"/>
      <w:numFmt w:val="bullet"/>
      <w:lvlText w:val=""/>
      <w:lvlJc w:val="left"/>
      <w:pPr>
        <w:ind w:left="2368" w:hanging="360"/>
      </w:pPr>
      <w:rPr>
        <w:rFonts w:ascii="Wingdings" w:hAnsi="Wingdings" w:hint="default"/>
      </w:rPr>
    </w:lvl>
    <w:lvl w:ilvl="3" w:tplc="0C090001" w:tentative="1">
      <w:start w:val="1"/>
      <w:numFmt w:val="bullet"/>
      <w:lvlText w:val=""/>
      <w:lvlJc w:val="left"/>
      <w:pPr>
        <w:ind w:left="3088" w:hanging="360"/>
      </w:pPr>
      <w:rPr>
        <w:rFonts w:ascii="Symbol" w:hAnsi="Symbol" w:hint="default"/>
      </w:rPr>
    </w:lvl>
    <w:lvl w:ilvl="4" w:tplc="0C090003" w:tentative="1">
      <w:start w:val="1"/>
      <w:numFmt w:val="bullet"/>
      <w:lvlText w:val="o"/>
      <w:lvlJc w:val="left"/>
      <w:pPr>
        <w:ind w:left="3808" w:hanging="360"/>
      </w:pPr>
      <w:rPr>
        <w:rFonts w:ascii="Courier New" w:hAnsi="Courier New" w:cs="Courier New" w:hint="default"/>
      </w:rPr>
    </w:lvl>
    <w:lvl w:ilvl="5" w:tplc="0C090005" w:tentative="1">
      <w:start w:val="1"/>
      <w:numFmt w:val="bullet"/>
      <w:lvlText w:val=""/>
      <w:lvlJc w:val="left"/>
      <w:pPr>
        <w:ind w:left="4528" w:hanging="360"/>
      </w:pPr>
      <w:rPr>
        <w:rFonts w:ascii="Wingdings" w:hAnsi="Wingdings" w:hint="default"/>
      </w:rPr>
    </w:lvl>
    <w:lvl w:ilvl="6" w:tplc="0C090001" w:tentative="1">
      <w:start w:val="1"/>
      <w:numFmt w:val="bullet"/>
      <w:lvlText w:val=""/>
      <w:lvlJc w:val="left"/>
      <w:pPr>
        <w:ind w:left="5248" w:hanging="360"/>
      </w:pPr>
      <w:rPr>
        <w:rFonts w:ascii="Symbol" w:hAnsi="Symbol" w:hint="default"/>
      </w:rPr>
    </w:lvl>
    <w:lvl w:ilvl="7" w:tplc="0C090003" w:tentative="1">
      <w:start w:val="1"/>
      <w:numFmt w:val="bullet"/>
      <w:lvlText w:val="o"/>
      <w:lvlJc w:val="left"/>
      <w:pPr>
        <w:ind w:left="5968" w:hanging="360"/>
      </w:pPr>
      <w:rPr>
        <w:rFonts w:ascii="Courier New" w:hAnsi="Courier New" w:cs="Courier New" w:hint="default"/>
      </w:rPr>
    </w:lvl>
    <w:lvl w:ilvl="8" w:tplc="0C090005" w:tentative="1">
      <w:start w:val="1"/>
      <w:numFmt w:val="bullet"/>
      <w:lvlText w:val=""/>
      <w:lvlJc w:val="left"/>
      <w:pPr>
        <w:ind w:left="6688" w:hanging="360"/>
      </w:pPr>
      <w:rPr>
        <w:rFonts w:ascii="Wingdings" w:hAnsi="Wingdings" w:hint="default"/>
      </w:rPr>
    </w:lvl>
  </w:abstractNum>
  <w:abstractNum w:abstractNumId="7" w15:restartNumberingAfterBreak="0">
    <w:nsid w:val="67A15C07"/>
    <w:multiLevelType w:val="hybridMultilevel"/>
    <w:tmpl w:val="9DFA204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67F31429"/>
    <w:multiLevelType w:val="multilevel"/>
    <w:tmpl w:val="19948522"/>
    <w:lvl w:ilvl="0">
      <w:start w:val="5"/>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69227AD1"/>
    <w:multiLevelType w:val="hybridMultilevel"/>
    <w:tmpl w:val="C838C2D2"/>
    <w:lvl w:ilvl="0" w:tplc="0C090003">
      <w:start w:val="1"/>
      <w:numFmt w:val="bullet"/>
      <w:lvlText w:val="o"/>
      <w:lvlJc w:val="left"/>
      <w:pPr>
        <w:ind w:left="1440" w:hanging="360"/>
      </w:pPr>
      <w:rPr>
        <w:rFonts w:ascii="Courier New" w:hAnsi="Courier New" w:cs="Courier New"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num w:numId="1">
    <w:abstractNumId w:val="3"/>
  </w:num>
  <w:num w:numId="2">
    <w:abstractNumId w:val="7"/>
  </w:num>
  <w:num w:numId="3">
    <w:abstractNumId w:val="6"/>
  </w:num>
  <w:num w:numId="4">
    <w:abstractNumId w:val="4"/>
  </w:num>
  <w:num w:numId="5">
    <w:abstractNumId w:val="0"/>
  </w:num>
  <w:num w:numId="6">
    <w:abstractNumId w:val="9"/>
  </w:num>
  <w:num w:numId="7">
    <w:abstractNumId w:val="5"/>
  </w:num>
  <w:num w:numId="8">
    <w:abstractNumId w:val="2"/>
  </w:num>
  <w:num w:numId="9">
    <w:abstractNumId w:val="1"/>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1FF2"/>
    <w:rsid w:val="00081DAF"/>
    <w:rsid w:val="001E09EF"/>
    <w:rsid w:val="00215D7C"/>
    <w:rsid w:val="002338CC"/>
    <w:rsid w:val="00316410"/>
    <w:rsid w:val="00395C3C"/>
    <w:rsid w:val="003B08E0"/>
    <w:rsid w:val="0043766D"/>
    <w:rsid w:val="00522B24"/>
    <w:rsid w:val="00525089"/>
    <w:rsid w:val="0053359E"/>
    <w:rsid w:val="00536275"/>
    <w:rsid w:val="005607DC"/>
    <w:rsid w:val="0056529A"/>
    <w:rsid w:val="005A7895"/>
    <w:rsid w:val="00742860"/>
    <w:rsid w:val="00744BDA"/>
    <w:rsid w:val="00833885"/>
    <w:rsid w:val="00851070"/>
    <w:rsid w:val="008772AD"/>
    <w:rsid w:val="009D5D64"/>
    <w:rsid w:val="009E5420"/>
    <w:rsid w:val="00A11F65"/>
    <w:rsid w:val="00A12660"/>
    <w:rsid w:val="00A716C3"/>
    <w:rsid w:val="00A84145"/>
    <w:rsid w:val="00AB5C70"/>
    <w:rsid w:val="00B10426"/>
    <w:rsid w:val="00BA07BC"/>
    <w:rsid w:val="00BA1CF0"/>
    <w:rsid w:val="00BF0F2A"/>
    <w:rsid w:val="00C00245"/>
    <w:rsid w:val="00C223C2"/>
    <w:rsid w:val="00C5393D"/>
    <w:rsid w:val="00C6612E"/>
    <w:rsid w:val="00D6073F"/>
    <w:rsid w:val="00DB442A"/>
    <w:rsid w:val="00E74407"/>
    <w:rsid w:val="00EA43B6"/>
    <w:rsid w:val="00EF1AF6"/>
    <w:rsid w:val="00F91FF2"/>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94D6C0"/>
  <w15:chartTrackingRefBased/>
  <w15:docId w15:val="{F83F402F-6AEC-44E7-A5EA-B45DA48043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43766D"/>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43766D"/>
    <w:pPr>
      <w:keepNext/>
      <w:keepLines/>
      <w:spacing w:before="40" w:after="0" w:line="300" w:lineRule="auto"/>
      <w:outlineLvl w:val="1"/>
    </w:pPr>
    <w:rPr>
      <w:rFonts w:ascii="Arial" w:eastAsiaTheme="majorEastAsia" w:hAnsi="Arial" w:cstheme="majorBidi"/>
      <w:color w:val="00283E"/>
      <w:sz w:val="44"/>
      <w:szCs w:val="26"/>
    </w:rPr>
  </w:style>
  <w:style w:type="paragraph" w:styleId="Heading3">
    <w:name w:val="heading 3"/>
    <w:basedOn w:val="Normal"/>
    <w:next w:val="Normal"/>
    <w:link w:val="Heading3Char"/>
    <w:uiPriority w:val="9"/>
    <w:unhideWhenUsed/>
    <w:qFormat/>
    <w:rsid w:val="0043766D"/>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unhideWhenUsed/>
    <w:qFormat/>
    <w:rsid w:val="0043766D"/>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unhideWhenUsed/>
    <w:qFormat/>
    <w:rsid w:val="0043766D"/>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43766D"/>
    <w:rPr>
      <w:rFonts w:ascii="Arial" w:eastAsiaTheme="majorEastAsia" w:hAnsi="Arial" w:cstheme="majorBidi"/>
      <w:color w:val="00283E"/>
      <w:sz w:val="44"/>
      <w:szCs w:val="26"/>
    </w:rPr>
  </w:style>
  <w:style w:type="character" w:customStyle="1" w:styleId="Heading4Char">
    <w:name w:val="Heading 4 Char"/>
    <w:basedOn w:val="DefaultParagraphFont"/>
    <w:link w:val="Heading4"/>
    <w:uiPriority w:val="9"/>
    <w:rsid w:val="0043766D"/>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rsid w:val="0043766D"/>
    <w:rPr>
      <w:rFonts w:asciiTheme="majorHAnsi" w:eastAsiaTheme="majorEastAsia" w:hAnsiTheme="majorHAnsi" w:cstheme="majorBidi"/>
      <w:color w:val="2E74B5" w:themeColor="accent1" w:themeShade="BF"/>
    </w:rPr>
  </w:style>
  <w:style w:type="character" w:styleId="CommentReference">
    <w:name w:val="annotation reference"/>
    <w:basedOn w:val="DefaultParagraphFont"/>
    <w:uiPriority w:val="99"/>
    <w:unhideWhenUsed/>
    <w:rsid w:val="0043766D"/>
    <w:rPr>
      <w:sz w:val="16"/>
      <w:szCs w:val="16"/>
    </w:rPr>
  </w:style>
  <w:style w:type="paragraph" w:styleId="CommentText">
    <w:name w:val="annotation text"/>
    <w:basedOn w:val="Normal"/>
    <w:link w:val="CommentTextChar"/>
    <w:uiPriority w:val="99"/>
    <w:unhideWhenUsed/>
    <w:rsid w:val="0043766D"/>
    <w:pPr>
      <w:spacing w:after="200" w:line="240" w:lineRule="auto"/>
    </w:pPr>
    <w:rPr>
      <w:sz w:val="20"/>
      <w:szCs w:val="20"/>
    </w:rPr>
  </w:style>
  <w:style w:type="character" w:customStyle="1" w:styleId="CommentTextChar">
    <w:name w:val="Comment Text Char"/>
    <w:basedOn w:val="DefaultParagraphFont"/>
    <w:link w:val="CommentText"/>
    <w:uiPriority w:val="99"/>
    <w:rsid w:val="0043766D"/>
    <w:rPr>
      <w:sz w:val="20"/>
      <w:szCs w:val="20"/>
    </w:rPr>
  </w:style>
  <w:style w:type="paragraph" w:styleId="BalloonText">
    <w:name w:val="Balloon Text"/>
    <w:basedOn w:val="Normal"/>
    <w:link w:val="BalloonTextChar"/>
    <w:uiPriority w:val="99"/>
    <w:semiHidden/>
    <w:unhideWhenUsed/>
    <w:rsid w:val="0043766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3766D"/>
    <w:rPr>
      <w:rFonts w:ascii="Segoe UI" w:hAnsi="Segoe UI" w:cs="Segoe UI"/>
      <w:sz w:val="18"/>
      <w:szCs w:val="18"/>
    </w:rPr>
  </w:style>
  <w:style w:type="character" w:customStyle="1" w:styleId="Heading3Char">
    <w:name w:val="Heading 3 Char"/>
    <w:basedOn w:val="DefaultParagraphFont"/>
    <w:link w:val="Heading3"/>
    <w:uiPriority w:val="9"/>
    <w:rsid w:val="0043766D"/>
    <w:rPr>
      <w:rFonts w:asciiTheme="majorHAnsi" w:eastAsiaTheme="majorEastAsia" w:hAnsiTheme="majorHAnsi" w:cstheme="majorBidi"/>
      <w:color w:val="1F4D78" w:themeColor="accent1" w:themeShade="7F"/>
      <w:sz w:val="24"/>
      <w:szCs w:val="24"/>
    </w:rPr>
  </w:style>
  <w:style w:type="character" w:customStyle="1" w:styleId="Heading1Char">
    <w:name w:val="Heading 1 Char"/>
    <w:basedOn w:val="DefaultParagraphFont"/>
    <w:link w:val="Heading1"/>
    <w:uiPriority w:val="9"/>
    <w:rsid w:val="0043766D"/>
    <w:rPr>
      <w:rFonts w:asciiTheme="majorHAnsi" w:eastAsiaTheme="majorEastAsia" w:hAnsiTheme="majorHAnsi" w:cstheme="majorBidi"/>
      <w:color w:val="2E74B5" w:themeColor="accent1" w:themeShade="BF"/>
      <w:sz w:val="32"/>
      <w:szCs w:val="32"/>
    </w:rPr>
  </w:style>
  <w:style w:type="paragraph" w:styleId="Header">
    <w:name w:val="header"/>
    <w:basedOn w:val="Normal"/>
    <w:link w:val="HeaderChar"/>
    <w:uiPriority w:val="99"/>
    <w:unhideWhenUsed/>
    <w:rsid w:val="002338CC"/>
    <w:pPr>
      <w:tabs>
        <w:tab w:val="center" w:pos="4513"/>
        <w:tab w:val="right" w:pos="9026"/>
      </w:tabs>
      <w:spacing w:after="0" w:line="240" w:lineRule="auto"/>
    </w:pPr>
  </w:style>
  <w:style w:type="character" w:customStyle="1" w:styleId="HeaderChar">
    <w:name w:val="Header Char"/>
    <w:basedOn w:val="DefaultParagraphFont"/>
    <w:link w:val="Header"/>
    <w:uiPriority w:val="99"/>
    <w:rsid w:val="002338CC"/>
  </w:style>
  <w:style w:type="paragraph" w:styleId="Footer">
    <w:name w:val="footer"/>
    <w:basedOn w:val="Normal"/>
    <w:link w:val="FooterChar"/>
    <w:uiPriority w:val="99"/>
    <w:unhideWhenUsed/>
    <w:rsid w:val="002338CC"/>
    <w:pPr>
      <w:tabs>
        <w:tab w:val="center" w:pos="4513"/>
        <w:tab w:val="right" w:pos="9026"/>
      </w:tabs>
      <w:spacing w:after="0" w:line="240" w:lineRule="auto"/>
    </w:pPr>
  </w:style>
  <w:style w:type="character" w:customStyle="1" w:styleId="FooterChar">
    <w:name w:val="Footer Char"/>
    <w:basedOn w:val="DefaultParagraphFont"/>
    <w:link w:val="Footer"/>
    <w:uiPriority w:val="99"/>
    <w:rsid w:val="002338CC"/>
  </w:style>
  <w:style w:type="paragraph" w:styleId="ListParagraph">
    <w:name w:val="List Paragraph"/>
    <w:basedOn w:val="Normal"/>
    <w:uiPriority w:val="34"/>
    <w:qFormat/>
    <w:rsid w:val="00E74407"/>
    <w:pPr>
      <w:ind w:left="720"/>
      <w:contextualSpacing/>
    </w:pPr>
  </w:style>
  <w:style w:type="paragraph" w:styleId="Title">
    <w:name w:val="Title"/>
    <w:basedOn w:val="Normal"/>
    <w:next w:val="Normal"/>
    <w:link w:val="TitleChar"/>
    <w:uiPriority w:val="10"/>
    <w:qFormat/>
    <w:rsid w:val="00536275"/>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3627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36275"/>
    <w:pPr>
      <w:numPr>
        <w:ilvl w:val="1"/>
      </w:numPr>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536275"/>
    <w:rPr>
      <w:rFonts w:eastAsiaTheme="minorEastAsia"/>
      <w:color w:val="5A5A5A" w:themeColor="text1" w:themeTint="A5"/>
      <w:spacing w:val="1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21BF9C8E2E09A459AFED6536CD8BA74" ma:contentTypeVersion="29" ma:contentTypeDescription="Create a new document." ma:contentTypeScope="" ma:versionID="f0097adc8b7ed5ab77ea84f8b09c134f">
  <xsd:schema xmlns:xsd="http://www.w3.org/2001/XMLSchema" xmlns:xs="http://www.w3.org/2001/XMLSchema" xmlns:p="http://schemas.microsoft.com/office/2006/metadata/properties" xmlns:ns1="http://schemas.microsoft.com/sharepoint/v3" xmlns:ns2="76c08405-89e9-4c57-a585-b31d7bded94b" xmlns:ns3="http://schemas.microsoft.com/sharepoint/v4" targetNamespace="http://schemas.microsoft.com/office/2006/metadata/properties" ma:root="true" ma:fieldsID="20ee31ff1123add57a576e6a551bdae1" ns1:_="" ns2:_="" ns3:_="">
    <xsd:import namespace="http://schemas.microsoft.com/sharepoint/v3"/>
    <xsd:import namespace="76c08405-89e9-4c57-a585-b31d7bded94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aa25a1a23adf4c92a153145de6afe324" minOccurs="0"/>
                <xsd:element ref="ns2:TaxCatchAll" minOccurs="0"/>
                <xsd:element ref="ns2:pe2555c81638466f9eb614edb9ecde52" minOccurs="0"/>
                <xsd:element ref="ns2:g7bcb40ba23249a78edca7d43a67c1c9" minOccurs="0"/>
                <xsd:element ref="ns2:adb9bed2e36e4a93af574aeb444da63e" minOccurs="0"/>
                <xsd:element ref="ns2:n99e4c9942c6404eb103464a00e6097b" minOccurs="0"/>
                <xsd:element ref="ns1:Comments" minOccurs="0"/>
                <xsd:element ref="ns2:g04c65e7758e4a9bb076ed3b2f3b54e3" minOccurs="0"/>
                <xsd:element ref="ns2:g7cee4c3f49f4a8d957fe196d6fcc5b5" minOccurs="0"/>
                <xsd:element ref="ns2:f26de360fc5e40c78d93b560b6cc664b" minOccurs="0"/>
                <xsd:element ref="ns2:DocHub_LegalLexID" minOccurs="0"/>
                <xsd:element ref="ns2:d34056e35d444dee82a795b7b19350c2" minOccurs="0"/>
                <xsd:element ref="ns2:DocHub_PDMSNumber" minOccurs="0"/>
                <xsd:element ref="ns2:DocHub_SittingPeriod" minOccurs="0"/>
                <xsd:element ref="ns2:e63cd534a94446d68abe1904a0bcdfb2" minOccurs="0"/>
                <xsd:element ref="ns2:SharedWithUsers"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omments" ma:index="22" nillable="true" ma:displayName="Comments" ma:internalName="Comments">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6c08405-89e9-4c57-a585-b31d7bded94b"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aa25a1a23adf4c92a153145de6afe324" ma:index="12" ma:taxonomy="true" ma:internalName="aa25a1a23adf4c92a153145de6afe324" ma:taxonomyFieldName="DocHub_SecurityClassification" ma:displayName="Security Classification" ma:fieldId="{aa25a1a2-3adf-4c92-a153-145de6afe324}" ma:sspId="fb0313f7-9433-48c0-866e-9e0bbee59a50" ma:termSetId="f68a6a0b-bd85-4d9d-9c73-c45af096016b" ma:anchorId="00000000-0000-0000-0000-000000000000" ma:open="false" ma:isKeyword="false">
      <xsd:complexType>
        <xsd:sequence>
          <xsd:element ref="pc:Terms" minOccurs="0" maxOccurs="1"/>
        </xsd:sequence>
      </xsd:complexType>
    </xsd:element>
    <xsd:element name="TaxCatchAll" ma:index="13" nillable="true" ma:displayName="Taxonomy Catch All Column" ma:hidden="true" ma:list="{6247be60-eff2-4727-b089-eeeb92cab0a1}" ma:internalName="TaxCatchAll" ma:showField="CatchAllData" ma:web="76c08405-89e9-4c57-a585-b31d7bded94b">
      <xsd:complexType>
        <xsd:complexContent>
          <xsd:extension base="dms:MultiChoiceLookup">
            <xsd:sequence>
              <xsd:element name="Value" type="dms:Lookup" maxOccurs="unbounded" minOccurs="0" nillable="true"/>
            </xsd:sequence>
          </xsd:extension>
        </xsd:complexContent>
      </xsd:complexType>
    </xsd:element>
    <xsd:element name="pe2555c81638466f9eb614edb9ecde52" ma:index="15" ma:taxonomy="true" ma:internalName="pe2555c81638466f9eb614edb9ecde52" ma:taxonomyFieldName="DocHub_DocumentType" ma:displayName="Document Type" ma:indexed="true" ma:default="" ma:fieldId="{9e2555c8-1638-466f-9eb6-14edb9ecde52}" ma:sspId="fb0313f7-9433-48c0-866e-9e0bbee59a50" ma:termSetId="0e4c18c5-28eb-4f9e-8056-b3cddd4b5d9b" ma:anchorId="00000000-0000-0000-0000-000000000000" ma:open="true" ma:isKeyword="false">
      <xsd:complexType>
        <xsd:sequence>
          <xsd:element ref="pc:Terms" minOccurs="0" maxOccurs="1"/>
        </xsd:sequence>
      </xsd:complexType>
    </xsd:element>
    <xsd:element name="g7bcb40ba23249a78edca7d43a67c1c9" ma:index="17" nillable="true" ma:taxonomy="true" ma:internalName="g7bcb40ba23249a78edca7d43a67c1c9" ma:taxonomyFieldName="DocHub_WorkActivity" ma:displayName="Work Activity" ma:indexed="true" ma:default="" ma:fieldId="{07bcb40b-a232-49a7-8edc-a7d43a67c1c9}" ma:sspId="fb0313f7-9433-48c0-866e-9e0bbee59a50" ma:termSetId="6713ebbd-194a-499f-ab84-a4d70e145fb7" ma:anchorId="00000000-0000-0000-0000-000000000000" ma:open="true" ma:isKeyword="false">
      <xsd:complexType>
        <xsd:sequence>
          <xsd:element ref="pc:Terms" minOccurs="0" maxOccurs="1"/>
        </xsd:sequence>
      </xsd:complexType>
    </xsd:element>
    <xsd:element name="adb9bed2e36e4a93af574aeb444da63e" ma:index="19" nillable="true" ma:taxonomy="true" ma:internalName="adb9bed2e36e4a93af574aeb444da63e" ma:taxonomyFieldName="DocHub_Keywords" ma:displayName="Division Keywords" ma:fieldId="{adb9bed2-e36e-4a93-af57-4aeb444da63e}" ma:taxonomyMulti="true" ma:sspId="fb0313f7-9433-48c0-866e-9e0bbee59a50" ma:termSetId="3c5ba17a-3f2a-4545-afd8-a313ff44f94d" ma:anchorId="00000000-0000-0000-0000-000000000000" ma:open="true" ma:isKeyword="false">
      <xsd:complexType>
        <xsd:sequence>
          <xsd:element ref="pc:Terms" minOccurs="0" maxOccurs="1"/>
        </xsd:sequence>
      </xsd:complexType>
    </xsd:element>
    <xsd:element name="n99e4c9942c6404eb103464a00e6097b" ma:index="21" nillable="true" ma:taxonomy="true" ma:internalName="n99e4c9942c6404eb103464a00e6097b" ma:taxonomyFieldName="DocHub_Year" ma:displayName="Year" ma:indexed="true" ma:fieldId="{799e4c99-42c6-404e-b103-464a00e6097b}" ma:sspId="fb0313f7-9433-48c0-866e-9e0bbee59a50" ma:termSetId="07e1743d-d980-4fe7-a67d-b87ecf7f18f6" ma:anchorId="00000000-0000-0000-0000-000000000000" ma:open="false" ma:isKeyword="false">
      <xsd:complexType>
        <xsd:sequence>
          <xsd:element ref="pc:Terms" minOccurs="0" maxOccurs="1"/>
        </xsd:sequence>
      </xsd:complexType>
    </xsd:element>
    <xsd:element name="g04c65e7758e4a9bb076ed3b2f3b54e3" ma:index="24" nillable="true" ma:taxonomy="true" ma:internalName="g04c65e7758e4a9bb076ed3b2f3b54e3" ma:taxonomyFieldName="DocHub_EnergyMineralResources" ma:displayName="Energy / Mineral Resources" ma:fieldId="{004c65e7-758e-4a9b-b076-ed3b2f3b54e3}" ma:taxonomyMulti="true" ma:sspId="fb0313f7-9433-48c0-866e-9e0bbee59a50" ma:termSetId="04ad5cb7-9a30-443d-bd7a-a524a8ff2361" ma:anchorId="00000000-0000-0000-0000-000000000000" ma:open="true" ma:isKeyword="false">
      <xsd:complexType>
        <xsd:sequence>
          <xsd:element ref="pc:Terms" minOccurs="0" maxOccurs="1"/>
        </xsd:sequence>
      </xsd:complexType>
    </xsd:element>
    <xsd:element name="g7cee4c3f49f4a8d957fe196d6fcc5b5" ma:index="26" nillable="true" ma:taxonomy="true" ma:internalName="g7cee4c3f49f4a8d957fe196d6fcc5b5" ma:taxonomyFieldName="DocHub_GovernmentEntities" ma:displayName="Government Entities" ma:fieldId="{07cee4c3-f49f-4a8d-957f-e196d6fcc5b5}" ma:taxonomyMulti="true" ma:sspId="fb0313f7-9433-48c0-866e-9e0bbee59a50" ma:termSetId="dadb9b88-24b6-471a-9d1e-c062637f92ad" ma:anchorId="00000000-0000-0000-0000-000000000000" ma:open="false" ma:isKeyword="false">
      <xsd:complexType>
        <xsd:sequence>
          <xsd:element ref="pc:Terms" minOccurs="0" maxOccurs="1"/>
        </xsd:sequence>
      </xsd:complexType>
    </xsd:element>
    <xsd:element name="f26de360fc5e40c78d93b560b6cc664b" ma:index="28" nillable="true" ma:taxonomy="true" ma:internalName="f26de360fc5e40c78d93b560b6cc664b" ma:taxonomyFieldName="DocHub_GroupsOtherEntities" ma:displayName="Groups / Other Entities" ma:fieldId="{f26de360-fc5e-40c7-8d93-b560b6cc664b}" ma:taxonomyMulti="true" ma:sspId="fb0313f7-9433-48c0-866e-9e0bbee59a50" ma:termSetId="a019fd78-46ff-411c-95b3-78e7427bf7f0" ma:anchorId="00000000-0000-0000-0000-000000000000" ma:open="true" ma:isKeyword="false">
      <xsd:complexType>
        <xsd:sequence>
          <xsd:element ref="pc:Terms" minOccurs="0" maxOccurs="1"/>
        </xsd:sequence>
      </xsd:complexType>
    </xsd:element>
    <xsd:element name="DocHub_LegalLexID" ma:index="29" nillable="true" ma:displayName="Legal / Lex ID" ma:description="Legal / LEX ID assigned by Legal Services LEX system for legal documentation" ma:internalName="DocHub_LegalLexID">
      <xsd:simpleType>
        <xsd:restriction base="dms:Text"/>
      </xsd:simpleType>
    </xsd:element>
    <xsd:element name="d34056e35d444dee82a795b7b19350c2" ma:index="31" nillable="true" ma:taxonomy="true" ma:internalName="d34056e35d444dee82a795b7b19350c2" ma:taxonomyFieldName="DocHub_OrganisationEntities" ma:displayName="Organisation Entities" ma:fieldId="{d34056e3-5d44-4dee-82a7-95b7b19350c2}" ma:sspId="fb0313f7-9433-48c0-866e-9e0bbee59a50" ma:termSetId="a4b4b0a1-b156-43d0-a6ff-63127fcc2317" ma:anchorId="00000000-0000-0000-0000-000000000000" ma:open="true" ma:isKeyword="false">
      <xsd:complexType>
        <xsd:sequence>
          <xsd:element ref="pc:Terms" minOccurs="0" maxOccurs="1"/>
        </xsd:sequence>
      </xsd:complexType>
    </xsd:element>
    <xsd:element name="DocHub_PDMSNumber" ma:index="32" nillable="true" ma:displayName="PDMS Number" ma:description="Parliamentary Document Management System (PDMS) Reference Number" ma:internalName="DocHub_PDMSNumber">
      <xsd:simpleType>
        <xsd:restriction base="dms:Text"/>
      </xsd:simpleType>
    </xsd:element>
    <xsd:element name="DocHub_SittingPeriod" ma:index="33" nillable="true" ma:displayName="Sitting Period" ma:description="Period (Spring / Summer / Autumn / Winter) of Parliamentary Sitting" ma:format="Dropdown" ma:internalName="DocHub_SittingPeriod">
      <xsd:simpleType>
        <xsd:restriction base="dms:Choice">
          <xsd:enumeration value="Spring"/>
          <xsd:enumeration value="Summer"/>
          <xsd:enumeration value="Autumn"/>
          <xsd:enumeration value="Winter"/>
        </xsd:restriction>
      </xsd:simpleType>
    </xsd:element>
    <xsd:element name="e63cd534a94446d68abe1904a0bcdfb2" ma:index="35" nillable="true" ma:taxonomy="true" ma:internalName="e63cd534a94446d68abe1904a0bcdfb2" ma:taxonomyFieldName="DocHub_WorkTopic" ma:displayName="Work Topic" ma:default="" ma:fieldId="{e63cd534-a944-46d6-8abe-1904a0bcdfb2}" ma:sspId="fb0313f7-9433-48c0-866e-9e0bbee59a50" ma:termSetId="37b9fd67-2409-4a5b-9020-65d45193cadc" ma:anchorId="00000000-0000-0000-0000-000000000000" ma:open="false" ma:isKeyword="false">
      <xsd:complexType>
        <xsd:sequence>
          <xsd:element ref="pc:Terms" minOccurs="0" maxOccurs="1"/>
        </xsd:sequence>
      </xsd:complexType>
    </xsd:element>
    <xsd:element name="SharedWithUsers" ma:index="37"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f26de360fc5e40c78d93b560b6cc664b xmlns="76c08405-89e9-4c57-a585-b31d7bded94b">
      <Terms xmlns="http://schemas.microsoft.com/office/infopath/2007/PartnerControls"/>
    </f26de360fc5e40c78d93b560b6cc664b>
    <aa25a1a23adf4c92a153145de6afe324 xmlns="76c08405-89e9-4c57-a585-b31d7bded94b">
      <Terms xmlns="http://schemas.microsoft.com/office/infopath/2007/PartnerControls">
        <TermInfo xmlns="http://schemas.microsoft.com/office/infopath/2007/PartnerControls">
          <TermName>UNCLASSIFIED</TermName>
          <TermId>6106d03b-a1a0-4e30-9d91-d5e9fb4314f9</TermId>
        </TermInfo>
      </Terms>
    </aa25a1a23adf4c92a153145de6afe324>
    <e63cd534a94446d68abe1904a0bcdfb2 xmlns="76c08405-89e9-4c57-a585-b31d7bded94b">
      <Terms xmlns="http://schemas.microsoft.com/office/infopath/2007/PartnerControls">
        <TermInfo xmlns="http://schemas.microsoft.com/office/infopath/2007/PartnerControls">
          <TermName>Decommissioning</TermName>
          <TermId>dce4297a-5840-4ef6-95eb-ebdb37df48a9</TermId>
        </TermInfo>
      </Terms>
    </e63cd534a94446d68abe1904a0bcdfb2>
    <adb9bed2e36e4a93af574aeb444da63e xmlns="76c08405-89e9-4c57-a585-b31d7bded94b">
      <Terms xmlns="http://schemas.microsoft.com/office/infopath/2007/PartnerControls">
        <TermInfo xmlns="http://schemas.microsoft.com/office/infopath/2007/PartnerControls">
          <TermName>Decommissioning</TermName>
          <TermId>e4e4f788-33b6-4494-9d17-c635c60d2278</TermId>
        </TermInfo>
      </Terms>
    </adb9bed2e36e4a93af574aeb444da63e>
    <g7cee4c3f49f4a8d957fe196d6fcc5b5 xmlns="76c08405-89e9-4c57-a585-b31d7bded94b">
      <Terms xmlns="http://schemas.microsoft.com/office/infopath/2007/PartnerControls"/>
    </g7cee4c3f49f4a8d957fe196d6fcc5b5>
    <pe2555c81638466f9eb614edb9ecde52 xmlns="76c08405-89e9-4c57-a585-b31d7bded94b">
      <Terms xmlns="http://schemas.microsoft.com/office/infopath/2007/PartnerControls">
        <TermInfo xmlns="http://schemas.microsoft.com/office/infopath/2007/PartnerControls">
          <TermName>Summary Notes</TermName>
          <TermId>7b0c0024-e437-41e9-ae82-079d89ccf611</TermId>
        </TermInfo>
      </Terms>
    </pe2555c81638466f9eb614edb9ecde52>
    <n99e4c9942c6404eb103464a00e6097b xmlns="76c08405-89e9-4c57-a585-b31d7bded94b">
      <Terms xmlns="http://schemas.microsoft.com/office/infopath/2007/PartnerControls">
        <TermInfo xmlns="http://schemas.microsoft.com/office/infopath/2007/PartnerControls">
          <TermName>2018</TermName>
          <TermId>224abc7b-6f7e-4064-b773-6750976429b5</TermId>
        </TermInfo>
      </Terms>
    </n99e4c9942c6404eb103464a00e6097b>
    <DocHub_SittingPeriod xmlns="76c08405-89e9-4c57-a585-b31d7bded94b" xsi:nil="true"/>
    <TaxCatchAll xmlns="76c08405-89e9-4c57-a585-b31d7bded94b">
      <Value>354</Value>
      <Value>1728</Value>
      <Value>363</Value>
      <Value>1856</Value>
      <Value>1</Value>
      <Value>306</Value>
    </TaxCatchAll>
    <d34056e35d444dee82a795b7b19350c2 xmlns="76c08405-89e9-4c57-a585-b31d7bded94b">
      <Terms xmlns="http://schemas.microsoft.com/office/infopath/2007/PartnerControls"/>
    </d34056e35d444dee82a795b7b19350c2>
    <DocHub_PDMSNumber xmlns="76c08405-89e9-4c57-a585-b31d7bded94b" xsi:nil="true"/>
    <g7bcb40ba23249a78edca7d43a67c1c9 xmlns="76c08405-89e9-4c57-a585-b31d7bded94b">
      <Terms xmlns="http://schemas.microsoft.com/office/infopath/2007/PartnerControls">
        <TermInfo xmlns="http://schemas.microsoft.com/office/infopath/2007/PartnerControls">
          <TermName>Review</TermName>
          <TermId>27afafd6-6f91-478b-aa86-71bce00b7eb9</TermId>
        </TermInfo>
      </Terms>
    </g7bcb40ba23249a78edca7d43a67c1c9>
    <g04c65e7758e4a9bb076ed3b2f3b54e3 xmlns="76c08405-89e9-4c57-a585-b31d7bded94b">
      <Terms xmlns="http://schemas.microsoft.com/office/infopath/2007/PartnerControls"/>
    </g04c65e7758e4a9bb076ed3b2f3b54e3>
    <DocHub_LegalLexID xmlns="76c08405-89e9-4c57-a585-b31d7bded94b" xsi:nil="true"/>
    <Comments xmlns="http://schemas.microsoft.com/sharepoint/v3" xsi:nil="true"/>
    <_dlc_DocId xmlns="76c08405-89e9-4c57-a585-b31d7bded94b">P77SRJCMCQEC-574078519-586</_dlc_DocId>
    <_dlc_DocIdUrl xmlns="76c08405-89e9-4c57-a585-b31d7bded94b">
      <Url>https://dochub/div/resources/businessfunctions/offshoreresources/stratpolicy/reviews/_layouts/15/DocIdRedir.aspx?ID=P77SRJCMCQEC-574078519-586</Url>
      <Description>P77SRJCMCQEC-574078519-586</Description>
    </_dlc_DocIdUrl>
    <IconOverlay xmlns="http://schemas.microsoft.com/sharepoint/v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4CBED9C-0198-4C26-8E81-32BB7BAFDF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76c08405-89e9-4c57-a585-b31d7bded94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B8B7498-46CD-4320-9B68-08C4D6AD881C}">
  <ds:schemaRefs>
    <ds:schemaRef ds:uri="76c08405-89e9-4c57-a585-b31d7bded94b"/>
    <ds:schemaRef ds:uri="http://purl.org/dc/elements/1.1/"/>
    <ds:schemaRef ds:uri="http://schemas.microsoft.com/office/2006/metadata/properties"/>
    <ds:schemaRef ds:uri="http://schemas.microsoft.com/sharepoint/v3"/>
    <ds:schemaRef ds:uri="http://schemas.microsoft.com/sharepoint/v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409BCDCD-E9E9-47FC-A8E3-578926DFA427}">
  <ds:schemaRefs>
    <ds:schemaRef ds:uri="http://schemas.microsoft.com/sharepoint/v3/contenttype/forms"/>
  </ds:schemaRefs>
</ds:datastoreItem>
</file>

<file path=customXml/itemProps4.xml><?xml version="1.0" encoding="utf-8"?>
<ds:datastoreItem xmlns:ds="http://schemas.openxmlformats.org/officeDocument/2006/customXml" ds:itemID="{26FCA220-11F5-4D70-9C97-35C7BA8A4D4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1627</Words>
  <Characters>9279</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Summary of Decommissioning Discussion Paper Issues, Options and Questions</vt:lpstr>
    </vt:vector>
  </TitlesOfParts>
  <Company>Department of Industry, Innovation and Science</Company>
  <LinksUpToDate>false</LinksUpToDate>
  <CharactersWithSpaces>10885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Summary of Decommissioning Discussion Paper Issues, Options and Questions</dc:title>
  <dc:subject/>
  <dc:creator>Strategic Policy Team</dc:creator>
  <cp:keywords>Decommissioning;Offshore Resources</cp:keywords>
  <dc:description/>
  <cp:lastModifiedBy>Van Der Weyde, Anneke</cp:lastModifiedBy>
  <cp:revision>3</cp:revision>
  <cp:lastPrinted>2018-10-04T23:54:00Z</cp:lastPrinted>
  <dcterms:created xsi:type="dcterms:W3CDTF">2018-10-04T23:54:00Z</dcterms:created>
  <dcterms:modified xsi:type="dcterms:W3CDTF">2018-10-04T23:55:00Z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0x010100921BF9C8E2E09A459AFED6536CD8BA74</vt:lpwstr>
  </property>
  <property fmtid="{D5CDD505-2E9C-101B-9397-08002B2CF9AE}" pid="3" name="DocHub_Year">
    <vt:lpwstr>1728;#2018|224abc7b-6f7e-4064-b773-6750976429b5</vt:lpwstr>
  </property>
  <property fmtid="{D5CDD505-2E9C-101B-9397-08002B2CF9AE}" pid="4" name="DocHub_WorkActivity">
    <vt:lpwstr>306;#Review|27afafd6-6f91-478b-aa86-71bce00b7eb9</vt:lpwstr>
  </property>
  <property fmtid="{D5CDD505-2E9C-101B-9397-08002B2CF9AE}" pid="5" name="DocHub_WorkTopic">
    <vt:lpwstr>363;#Decommissioning|dce4297a-5840-4ef6-95eb-ebdb37df48a9</vt:lpwstr>
  </property>
  <property fmtid="{D5CDD505-2E9C-101B-9397-08002B2CF9AE}" pid="6" name="DocHub_GroupsOtherEntities">
    <vt:lpwstr/>
  </property>
  <property fmtid="{D5CDD505-2E9C-101B-9397-08002B2CF9AE}" pid="7" name="DocHub_DocumentType">
    <vt:lpwstr>1856;#Summary Notes|7b0c0024-e437-41e9-ae82-079d89ccf611</vt:lpwstr>
  </property>
  <property fmtid="{D5CDD505-2E9C-101B-9397-08002B2CF9AE}" pid="8" name="DocHub_SecurityClassification">
    <vt:lpwstr>1;#UNCLASSIFIED|6106d03b-a1a0-4e30-9d91-d5e9fb4314f9</vt:lpwstr>
  </property>
  <property fmtid="{D5CDD505-2E9C-101B-9397-08002B2CF9AE}" pid="9" name="DocHub_GovernmentEntities">
    <vt:lpwstr/>
  </property>
  <property fmtid="{D5CDD505-2E9C-101B-9397-08002B2CF9AE}" pid="10" name="DocHub_EnergyMineralResources">
    <vt:lpwstr/>
  </property>
  <property fmtid="{D5CDD505-2E9C-101B-9397-08002B2CF9AE}" pid="11" name="DocHub_OrganisationEntities">
    <vt:lpwstr/>
  </property>
  <property fmtid="{D5CDD505-2E9C-101B-9397-08002B2CF9AE}" pid="12" name="DocHub_Keywords">
    <vt:lpwstr>354;#Decommissioning|e4e4f788-33b6-4494-9d17-c635c60d2278</vt:lpwstr>
  </property>
  <property fmtid="{D5CDD505-2E9C-101B-9397-08002B2CF9AE}" pid="13" name="_dlc_DocIdItemGuid">
    <vt:lpwstr>bbd14b4c-a5b0-455f-b92d-9617a70c189d</vt:lpwstr>
  </property>
</Properties>
</file>