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319" w:rsidRPr="0040597F" w:rsidRDefault="00577459" w:rsidP="0040597F">
      <w:pPr>
        <w:pStyle w:val="Title"/>
      </w:pPr>
      <w:r>
        <w:t>Consultation on NITP Review</w:t>
      </w:r>
    </w:p>
    <w:p w:rsidR="004A3319" w:rsidRDefault="00577459" w:rsidP="004A3319">
      <w:pPr>
        <w:pStyle w:val="Author"/>
      </w:pPr>
      <w:r>
        <w:t>National Measurement Institute</w:t>
      </w:r>
    </w:p>
    <w:p w:rsidR="004A3319" w:rsidRDefault="00577459" w:rsidP="004A3319">
      <w:pPr>
        <w:pStyle w:val="Date"/>
      </w:pPr>
      <w:r>
        <w:t>May 2015</w:t>
      </w:r>
    </w:p>
    <w:p w:rsidR="004A3319" w:rsidRDefault="004A3319" w:rsidP="004A3319"/>
    <w:p w:rsidR="004A3319" w:rsidRDefault="004A3319" w:rsidP="004A3319"/>
    <w:p w:rsidR="00B0311E" w:rsidRPr="006519B2" w:rsidRDefault="006519B2" w:rsidP="004A3319">
      <w:pPr>
        <w:rPr>
          <w:rStyle w:val="Hyperlink"/>
        </w:rPr>
      </w:pPr>
      <w:r>
        <w:fldChar w:fldCharType="begin"/>
      </w:r>
      <w:r>
        <w:instrText xml:space="preserve"> HYPERLINK "https://consult.industry.gov.au/national-measurement-institute/nitp-reform" \o "Visit the NTIP Consultation overview page" </w:instrText>
      </w:r>
      <w:r>
        <w:fldChar w:fldCharType="separate"/>
      </w:r>
      <w:r w:rsidR="00F0234A" w:rsidRPr="006519B2">
        <w:rPr>
          <w:rStyle w:val="Hyperlink"/>
        </w:rPr>
        <w:t>https://consult.industry.gov.au/Natio</w:t>
      </w:r>
      <w:bookmarkStart w:id="0" w:name="_GoBack"/>
      <w:bookmarkEnd w:id="0"/>
      <w:r w:rsidR="00F0234A" w:rsidRPr="006519B2">
        <w:rPr>
          <w:rStyle w:val="Hyperlink"/>
        </w:rPr>
        <w:t>n</w:t>
      </w:r>
      <w:r w:rsidR="00F0234A" w:rsidRPr="006519B2">
        <w:rPr>
          <w:rStyle w:val="Hyperlink"/>
        </w:rPr>
        <w:t>al-Measurement-Institute/NITP-Reform</w:t>
      </w:r>
    </w:p>
    <w:p w:rsidR="004A3319" w:rsidRDefault="006519B2" w:rsidP="004A3319">
      <w:pPr>
        <w:spacing w:after="0"/>
      </w:pPr>
      <w:r>
        <w:fldChar w:fldCharType="end"/>
      </w:r>
      <w:r w:rsidR="004A3319">
        <w:br w:type="page"/>
      </w:r>
    </w:p>
    <w:p w:rsidR="00AF068A" w:rsidRPr="00402753" w:rsidRDefault="00AF068A">
      <w:pPr>
        <w:pStyle w:val="TOCHeading1"/>
      </w:pPr>
      <w:r w:rsidRPr="00402753">
        <w:lastRenderedPageBreak/>
        <w:t>Table of Contents</w:t>
      </w:r>
    </w:p>
    <w:p w:rsidR="009F3DC8" w:rsidRDefault="00AF068A">
      <w:pPr>
        <w:pStyle w:val="TOC1"/>
        <w:tabs>
          <w:tab w:val="right" w:leader="dot" w:pos="8290"/>
        </w:tabs>
        <w:rPr>
          <w:rFonts w:asciiTheme="minorHAnsi" w:eastAsiaTheme="minorEastAsia" w:hAnsiTheme="minorHAnsi" w:cstheme="minorBidi"/>
          <w:noProof/>
          <w:sz w:val="22"/>
          <w:szCs w:val="22"/>
          <w:lang w:val="en-AU" w:eastAsia="en-AU"/>
        </w:rPr>
      </w:pPr>
      <w:r>
        <w:fldChar w:fldCharType="begin"/>
      </w:r>
      <w:r>
        <w:instrText xml:space="preserve"> TOC \o "1-3" \h \z \u </w:instrText>
      </w:r>
      <w:r>
        <w:fldChar w:fldCharType="separate"/>
      </w:r>
      <w:hyperlink w:anchor="_Toc419489447" w:history="1">
        <w:r w:rsidR="009F3DC8" w:rsidRPr="00256365">
          <w:rPr>
            <w:rStyle w:val="Hyperlink"/>
            <w:noProof/>
          </w:rPr>
          <w:t>Introduction</w:t>
        </w:r>
        <w:r w:rsidR="009F3DC8">
          <w:rPr>
            <w:noProof/>
            <w:webHidden/>
          </w:rPr>
          <w:tab/>
        </w:r>
        <w:r w:rsidR="009F3DC8">
          <w:rPr>
            <w:noProof/>
            <w:webHidden/>
          </w:rPr>
          <w:fldChar w:fldCharType="begin"/>
        </w:r>
        <w:r w:rsidR="009F3DC8">
          <w:rPr>
            <w:noProof/>
            <w:webHidden/>
          </w:rPr>
          <w:instrText xml:space="preserve"> PAGEREF _Toc419489447 \h </w:instrText>
        </w:r>
        <w:r w:rsidR="009F3DC8">
          <w:rPr>
            <w:noProof/>
            <w:webHidden/>
          </w:rPr>
        </w:r>
        <w:r w:rsidR="009F3DC8">
          <w:rPr>
            <w:noProof/>
            <w:webHidden/>
          </w:rPr>
          <w:fldChar w:fldCharType="separate"/>
        </w:r>
        <w:r w:rsidR="0049156A">
          <w:rPr>
            <w:noProof/>
            <w:webHidden/>
          </w:rPr>
          <w:t>2</w:t>
        </w:r>
        <w:r w:rsidR="009F3DC8">
          <w:rPr>
            <w:noProof/>
            <w:webHidden/>
          </w:rPr>
          <w:fldChar w:fldCharType="end"/>
        </w:r>
      </w:hyperlink>
    </w:p>
    <w:p w:rsidR="009F3DC8" w:rsidRDefault="00742D13">
      <w:pPr>
        <w:pStyle w:val="TOC1"/>
        <w:tabs>
          <w:tab w:val="right" w:leader="dot" w:pos="8290"/>
        </w:tabs>
        <w:rPr>
          <w:rFonts w:asciiTheme="minorHAnsi" w:eastAsiaTheme="minorEastAsia" w:hAnsiTheme="minorHAnsi" w:cstheme="minorBidi"/>
          <w:noProof/>
          <w:sz w:val="22"/>
          <w:szCs w:val="22"/>
          <w:lang w:val="en-AU" w:eastAsia="en-AU"/>
        </w:rPr>
      </w:pPr>
      <w:hyperlink w:anchor="_Toc419489448" w:history="1">
        <w:r w:rsidR="009F3DC8" w:rsidRPr="00256365">
          <w:rPr>
            <w:rStyle w:val="Hyperlink"/>
            <w:noProof/>
          </w:rPr>
          <w:t>Scope</w:t>
        </w:r>
        <w:r w:rsidR="009F3DC8">
          <w:rPr>
            <w:noProof/>
            <w:webHidden/>
          </w:rPr>
          <w:tab/>
        </w:r>
        <w:r w:rsidR="009F3DC8">
          <w:rPr>
            <w:noProof/>
            <w:webHidden/>
          </w:rPr>
          <w:fldChar w:fldCharType="begin"/>
        </w:r>
        <w:r w:rsidR="009F3DC8">
          <w:rPr>
            <w:noProof/>
            <w:webHidden/>
          </w:rPr>
          <w:instrText xml:space="preserve"> PAGEREF _Toc419489448 \h </w:instrText>
        </w:r>
        <w:r w:rsidR="009F3DC8">
          <w:rPr>
            <w:noProof/>
            <w:webHidden/>
          </w:rPr>
        </w:r>
        <w:r w:rsidR="009F3DC8">
          <w:rPr>
            <w:noProof/>
            <w:webHidden/>
          </w:rPr>
          <w:fldChar w:fldCharType="separate"/>
        </w:r>
        <w:r w:rsidR="0049156A">
          <w:rPr>
            <w:noProof/>
            <w:webHidden/>
          </w:rPr>
          <w:t>2</w:t>
        </w:r>
        <w:r w:rsidR="009F3DC8">
          <w:rPr>
            <w:noProof/>
            <w:webHidden/>
          </w:rPr>
          <w:fldChar w:fldCharType="end"/>
        </w:r>
      </w:hyperlink>
    </w:p>
    <w:p w:rsidR="009F3DC8" w:rsidRDefault="00742D13">
      <w:pPr>
        <w:pStyle w:val="TOC1"/>
        <w:tabs>
          <w:tab w:val="right" w:leader="dot" w:pos="8290"/>
        </w:tabs>
        <w:rPr>
          <w:rFonts w:asciiTheme="minorHAnsi" w:eastAsiaTheme="minorEastAsia" w:hAnsiTheme="minorHAnsi" w:cstheme="minorBidi"/>
          <w:noProof/>
          <w:sz w:val="22"/>
          <w:szCs w:val="22"/>
          <w:lang w:val="en-AU" w:eastAsia="en-AU"/>
        </w:rPr>
      </w:pPr>
      <w:hyperlink w:anchor="_Toc419489449" w:history="1">
        <w:r w:rsidR="009F3DC8" w:rsidRPr="00256365">
          <w:rPr>
            <w:rStyle w:val="Hyperlink"/>
            <w:noProof/>
          </w:rPr>
          <w:t>What is the Issue?</w:t>
        </w:r>
        <w:r w:rsidR="009F3DC8">
          <w:rPr>
            <w:noProof/>
            <w:webHidden/>
          </w:rPr>
          <w:tab/>
        </w:r>
        <w:r w:rsidR="009F3DC8">
          <w:rPr>
            <w:noProof/>
            <w:webHidden/>
          </w:rPr>
          <w:fldChar w:fldCharType="begin"/>
        </w:r>
        <w:r w:rsidR="009F3DC8">
          <w:rPr>
            <w:noProof/>
            <w:webHidden/>
          </w:rPr>
          <w:instrText xml:space="preserve"> PAGEREF _Toc419489449 \h </w:instrText>
        </w:r>
        <w:r w:rsidR="009F3DC8">
          <w:rPr>
            <w:noProof/>
            <w:webHidden/>
          </w:rPr>
        </w:r>
        <w:r w:rsidR="009F3DC8">
          <w:rPr>
            <w:noProof/>
            <w:webHidden/>
          </w:rPr>
          <w:fldChar w:fldCharType="separate"/>
        </w:r>
        <w:r w:rsidR="0049156A">
          <w:rPr>
            <w:noProof/>
            <w:webHidden/>
          </w:rPr>
          <w:t>2</w:t>
        </w:r>
        <w:r w:rsidR="009F3DC8">
          <w:rPr>
            <w:noProof/>
            <w:webHidden/>
          </w:rPr>
          <w:fldChar w:fldCharType="end"/>
        </w:r>
      </w:hyperlink>
    </w:p>
    <w:p w:rsidR="009F3DC8" w:rsidRDefault="00742D13">
      <w:pPr>
        <w:pStyle w:val="TOC1"/>
        <w:tabs>
          <w:tab w:val="right" w:leader="dot" w:pos="8290"/>
        </w:tabs>
        <w:rPr>
          <w:rFonts w:asciiTheme="minorHAnsi" w:eastAsiaTheme="minorEastAsia" w:hAnsiTheme="minorHAnsi" w:cstheme="minorBidi"/>
          <w:noProof/>
          <w:sz w:val="22"/>
          <w:szCs w:val="22"/>
          <w:lang w:val="en-AU" w:eastAsia="en-AU"/>
        </w:rPr>
      </w:pPr>
      <w:hyperlink w:anchor="_Toc419489450" w:history="1">
        <w:r w:rsidR="009F3DC8" w:rsidRPr="00256365">
          <w:rPr>
            <w:rStyle w:val="Hyperlink"/>
            <w:noProof/>
          </w:rPr>
          <w:t>Objectives of Consultation</w:t>
        </w:r>
        <w:r w:rsidR="009F3DC8">
          <w:rPr>
            <w:noProof/>
            <w:webHidden/>
          </w:rPr>
          <w:tab/>
        </w:r>
        <w:r w:rsidR="009F3DC8">
          <w:rPr>
            <w:noProof/>
            <w:webHidden/>
          </w:rPr>
          <w:fldChar w:fldCharType="begin"/>
        </w:r>
        <w:r w:rsidR="009F3DC8">
          <w:rPr>
            <w:noProof/>
            <w:webHidden/>
          </w:rPr>
          <w:instrText xml:space="preserve"> PAGEREF _Toc419489450 \h </w:instrText>
        </w:r>
        <w:r w:rsidR="009F3DC8">
          <w:rPr>
            <w:noProof/>
            <w:webHidden/>
          </w:rPr>
        </w:r>
        <w:r w:rsidR="009F3DC8">
          <w:rPr>
            <w:noProof/>
            <w:webHidden/>
          </w:rPr>
          <w:fldChar w:fldCharType="separate"/>
        </w:r>
        <w:r w:rsidR="0049156A">
          <w:rPr>
            <w:noProof/>
            <w:webHidden/>
          </w:rPr>
          <w:t>2</w:t>
        </w:r>
        <w:r w:rsidR="009F3DC8">
          <w:rPr>
            <w:noProof/>
            <w:webHidden/>
          </w:rPr>
          <w:fldChar w:fldCharType="end"/>
        </w:r>
      </w:hyperlink>
    </w:p>
    <w:p w:rsidR="009F3DC8" w:rsidRDefault="00742D13">
      <w:pPr>
        <w:pStyle w:val="TOC1"/>
        <w:tabs>
          <w:tab w:val="right" w:leader="dot" w:pos="8290"/>
        </w:tabs>
        <w:rPr>
          <w:rFonts w:asciiTheme="minorHAnsi" w:eastAsiaTheme="minorEastAsia" w:hAnsiTheme="minorHAnsi" w:cstheme="minorBidi"/>
          <w:noProof/>
          <w:sz w:val="22"/>
          <w:szCs w:val="22"/>
          <w:lang w:val="en-AU" w:eastAsia="en-AU"/>
        </w:rPr>
      </w:pPr>
      <w:hyperlink w:anchor="_Toc419489451" w:history="1">
        <w:r w:rsidR="009F3DC8" w:rsidRPr="00256365">
          <w:rPr>
            <w:rStyle w:val="Hyperlink"/>
            <w:noProof/>
          </w:rPr>
          <w:t>Background</w:t>
        </w:r>
        <w:r w:rsidR="009F3DC8">
          <w:rPr>
            <w:noProof/>
            <w:webHidden/>
          </w:rPr>
          <w:tab/>
        </w:r>
        <w:r w:rsidR="009F3DC8">
          <w:rPr>
            <w:noProof/>
            <w:webHidden/>
          </w:rPr>
          <w:fldChar w:fldCharType="begin"/>
        </w:r>
        <w:r w:rsidR="009F3DC8">
          <w:rPr>
            <w:noProof/>
            <w:webHidden/>
          </w:rPr>
          <w:instrText xml:space="preserve"> PAGEREF _Toc419489451 \h </w:instrText>
        </w:r>
        <w:r w:rsidR="009F3DC8">
          <w:rPr>
            <w:noProof/>
            <w:webHidden/>
          </w:rPr>
        </w:r>
        <w:r w:rsidR="009F3DC8">
          <w:rPr>
            <w:noProof/>
            <w:webHidden/>
          </w:rPr>
          <w:fldChar w:fldCharType="separate"/>
        </w:r>
        <w:r w:rsidR="0049156A">
          <w:rPr>
            <w:noProof/>
            <w:webHidden/>
          </w:rPr>
          <w:t>3</w:t>
        </w:r>
        <w:r w:rsidR="009F3DC8">
          <w:rPr>
            <w:noProof/>
            <w:webHidden/>
          </w:rPr>
          <w:fldChar w:fldCharType="end"/>
        </w:r>
      </w:hyperlink>
    </w:p>
    <w:p w:rsidR="009F3DC8" w:rsidRDefault="00742D13">
      <w:pPr>
        <w:pStyle w:val="TOC2"/>
        <w:rPr>
          <w:rFonts w:asciiTheme="minorHAnsi" w:eastAsiaTheme="minorEastAsia" w:hAnsiTheme="minorHAnsi" w:cstheme="minorBidi"/>
          <w:noProof/>
          <w:lang w:val="en-AU" w:eastAsia="en-AU"/>
        </w:rPr>
      </w:pPr>
      <w:hyperlink w:anchor="_Toc419489452" w:history="1">
        <w:r w:rsidR="009F3DC8" w:rsidRPr="00256365">
          <w:rPr>
            <w:rStyle w:val="Hyperlink"/>
            <w:noProof/>
          </w:rPr>
          <w:t>What is trade measurement?</w:t>
        </w:r>
        <w:r w:rsidR="009F3DC8">
          <w:rPr>
            <w:noProof/>
            <w:webHidden/>
          </w:rPr>
          <w:tab/>
        </w:r>
        <w:r w:rsidR="009F3DC8">
          <w:rPr>
            <w:noProof/>
            <w:webHidden/>
          </w:rPr>
          <w:fldChar w:fldCharType="begin"/>
        </w:r>
        <w:r w:rsidR="009F3DC8">
          <w:rPr>
            <w:noProof/>
            <w:webHidden/>
          </w:rPr>
          <w:instrText xml:space="preserve"> PAGEREF _Toc419489452 \h </w:instrText>
        </w:r>
        <w:r w:rsidR="009F3DC8">
          <w:rPr>
            <w:noProof/>
            <w:webHidden/>
          </w:rPr>
        </w:r>
        <w:r w:rsidR="009F3DC8">
          <w:rPr>
            <w:noProof/>
            <w:webHidden/>
          </w:rPr>
          <w:fldChar w:fldCharType="separate"/>
        </w:r>
        <w:r w:rsidR="0049156A">
          <w:rPr>
            <w:noProof/>
            <w:webHidden/>
          </w:rPr>
          <w:t>3</w:t>
        </w:r>
        <w:r w:rsidR="009F3DC8">
          <w:rPr>
            <w:noProof/>
            <w:webHidden/>
          </w:rPr>
          <w:fldChar w:fldCharType="end"/>
        </w:r>
      </w:hyperlink>
    </w:p>
    <w:p w:rsidR="009F3DC8" w:rsidRDefault="00742D13">
      <w:pPr>
        <w:pStyle w:val="TOC2"/>
        <w:rPr>
          <w:rFonts w:asciiTheme="minorHAnsi" w:eastAsiaTheme="minorEastAsia" w:hAnsiTheme="minorHAnsi" w:cstheme="minorBidi"/>
          <w:noProof/>
          <w:lang w:val="en-AU" w:eastAsia="en-AU"/>
        </w:rPr>
      </w:pPr>
      <w:hyperlink w:anchor="_Toc419489453" w:history="1">
        <w:r w:rsidR="009F3DC8" w:rsidRPr="00256365">
          <w:rPr>
            <w:rStyle w:val="Hyperlink"/>
            <w:noProof/>
          </w:rPr>
          <w:t>What are the National Instrument Test Procedures?</w:t>
        </w:r>
        <w:r w:rsidR="009F3DC8">
          <w:rPr>
            <w:noProof/>
            <w:webHidden/>
          </w:rPr>
          <w:tab/>
        </w:r>
        <w:r w:rsidR="009F3DC8">
          <w:rPr>
            <w:noProof/>
            <w:webHidden/>
          </w:rPr>
          <w:fldChar w:fldCharType="begin"/>
        </w:r>
        <w:r w:rsidR="009F3DC8">
          <w:rPr>
            <w:noProof/>
            <w:webHidden/>
          </w:rPr>
          <w:instrText xml:space="preserve"> PAGEREF _Toc419489453 \h </w:instrText>
        </w:r>
        <w:r w:rsidR="009F3DC8">
          <w:rPr>
            <w:noProof/>
            <w:webHidden/>
          </w:rPr>
        </w:r>
        <w:r w:rsidR="009F3DC8">
          <w:rPr>
            <w:noProof/>
            <w:webHidden/>
          </w:rPr>
          <w:fldChar w:fldCharType="separate"/>
        </w:r>
        <w:r w:rsidR="0049156A">
          <w:rPr>
            <w:noProof/>
            <w:webHidden/>
          </w:rPr>
          <w:t>3</w:t>
        </w:r>
        <w:r w:rsidR="009F3DC8">
          <w:rPr>
            <w:noProof/>
            <w:webHidden/>
          </w:rPr>
          <w:fldChar w:fldCharType="end"/>
        </w:r>
      </w:hyperlink>
    </w:p>
    <w:p w:rsidR="009F3DC8" w:rsidRDefault="00742D13">
      <w:pPr>
        <w:pStyle w:val="TOC2"/>
        <w:rPr>
          <w:rFonts w:asciiTheme="minorHAnsi" w:eastAsiaTheme="minorEastAsia" w:hAnsiTheme="minorHAnsi" w:cstheme="minorBidi"/>
          <w:noProof/>
          <w:lang w:val="en-AU" w:eastAsia="en-AU"/>
        </w:rPr>
      </w:pPr>
      <w:hyperlink w:anchor="_Toc419489454" w:history="1">
        <w:r w:rsidR="009F3DC8" w:rsidRPr="00256365">
          <w:rPr>
            <w:rStyle w:val="Hyperlink"/>
            <w:noProof/>
          </w:rPr>
          <w:t>What are servicing licensees?</w:t>
        </w:r>
        <w:r w:rsidR="009F3DC8">
          <w:rPr>
            <w:noProof/>
            <w:webHidden/>
          </w:rPr>
          <w:tab/>
        </w:r>
        <w:r w:rsidR="009F3DC8">
          <w:rPr>
            <w:noProof/>
            <w:webHidden/>
          </w:rPr>
          <w:fldChar w:fldCharType="begin"/>
        </w:r>
        <w:r w:rsidR="009F3DC8">
          <w:rPr>
            <w:noProof/>
            <w:webHidden/>
          </w:rPr>
          <w:instrText xml:space="preserve"> PAGEREF _Toc419489454 \h </w:instrText>
        </w:r>
        <w:r w:rsidR="009F3DC8">
          <w:rPr>
            <w:noProof/>
            <w:webHidden/>
          </w:rPr>
        </w:r>
        <w:r w:rsidR="009F3DC8">
          <w:rPr>
            <w:noProof/>
            <w:webHidden/>
          </w:rPr>
          <w:fldChar w:fldCharType="separate"/>
        </w:r>
        <w:r w:rsidR="0049156A">
          <w:rPr>
            <w:noProof/>
            <w:webHidden/>
          </w:rPr>
          <w:t>4</w:t>
        </w:r>
        <w:r w:rsidR="009F3DC8">
          <w:rPr>
            <w:noProof/>
            <w:webHidden/>
          </w:rPr>
          <w:fldChar w:fldCharType="end"/>
        </w:r>
      </w:hyperlink>
    </w:p>
    <w:p w:rsidR="009F3DC8" w:rsidRDefault="00742D13">
      <w:pPr>
        <w:pStyle w:val="TOC2"/>
        <w:rPr>
          <w:rFonts w:asciiTheme="minorHAnsi" w:eastAsiaTheme="minorEastAsia" w:hAnsiTheme="minorHAnsi" w:cstheme="minorBidi"/>
          <w:noProof/>
          <w:lang w:val="en-AU" w:eastAsia="en-AU"/>
        </w:rPr>
      </w:pPr>
      <w:hyperlink w:anchor="_Toc419489455" w:history="1">
        <w:r w:rsidR="009F3DC8" w:rsidRPr="00256365">
          <w:rPr>
            <w:rStyle w:val="Hyperlink"/>
            <w:noProof/>
          </w:rPr>
          <w:t>The current system</w:t>
        </w:r>
        <w:r w:rsidR="009F3DC8">
          <w:rPr>
            <w:noProof/>
            <w:webHidden/>
          </w:rPr>
          <w:tab/>
        </w:r>
        <w:r w:rsidR="009F3DC8">
          <w:rPr>
            <w:noProof/>
            <w:webHidden/>
          </w:rPr>
          <w:fldChar w:fldCharType="begin"/>
        </w:r>
        <w:r w:rsidR="009F3DC8">
          <w:rPr>
            <w:noProof/>
            <w:webHidden/>
          </w:rPr>
          <w:instrText xml:space="preserve"> PAGEREF _Toc419489455 \h </w:instrText>
        </w:r>
        <w:r w:rsidR="009F3DC8">
          <w:rPr>
            <w:noProof/>
            <w:webHidden/>
          </w:rPr>
        </w:r>
        <w:r w:rsidR="009F3DC8">
          <w:rPr>
            <w:noProof/>
            <w:webHidden/>
          </w:rPr>
          <w:fldChar w:fldCharType="separate"/>
        </w:r>
        <w:r w:rsidR="0049156A">
          <w:rPr>
            <w:noProof/>
            <w:webHidden/>
          </w:rPr>
          <w:t>4</w:t>
        </w:r>
        <w:r w:rsidR="009F3DC8">
          <w:rPr>
            <w:noProof/>
            <w:webHidden/>
          </w:rPr>
          <w:fldChar w:fldCharType="end"/>
        </w:r>
      </w:hyperlink>
    </w:p>
    <w:p w:rsidR="009F3DC8" w:rsidRDefault="00742D13">
      <w:pPr>
        <w:pStyle w:val="TOC2"/>
        <w:rPr>
          <w:rFonts w:asciiTheme="minorHAnsi" w:eastAsiaTheme="minorEastAsia" w:hAnsiTheme="minorHAnsi" w:cstheme="minorBidi"/>
          <w:noProof/>
          <w:lang w:val="en-AU" w:eastAsia="en-AU"/>
        </w:rPr>
      </w:pPr>
      <w:hyperlink w:anchor="_Toc419489456" w:history="1">
        <w:r w:rsidR="009F3DC8" w:rsidRPr="00256365">
          <w:rPr>
            <w:rStyle w:val="Hyperlink"/>
            <w:noProof/>
          </w:rPr>
          <w:t>Step one: Pattern approval</w:t>
        </w:r>
        <w:r w:rsidR="009F3DC8">
          <w:rPr>
            <w:noProof/>
            <w:webHidden/>
          </w:rPr>
          <w:tab/>
        </w:r>
        <w:r w:rsidR="009F3DC8">
          <w:rPr>
            <w:noProof/>
            <w:webHidden/>
          </w:rPr>
          <w:fldChar w:fldCharType="begin"/>
        </w:r>
        <w:r w:rsidR="009F3DC8">
          <w:rPr>
            <w:noProof/>
            <w:webHidden/>
          </w:rPr>
          <w:instrText xml:space="preserve"> PAGEREF _Toc419489456 \h </w:instrText>
        </w:r>
        <w:r w:rsidR="009F3DC8">
          <w:rPr>
            <w:noProof/>
            <w:webHidden/>
          </w:rPr>
        </w:r>
        <w:r w:rsidR="009F3DC8">
          <w:rPr>
            <w:noProof/>
            <w:webHidden/>
          </w:rPr>
          <w:fldChar w:fldCharType="separate"/>
        </w:r>
        <w:r w:rsidR="0049156A">
          <w:rPr>
            <w:noProof/>
            <w:webHidden/>
          </w:rPr>
          <w:t>4</w:t>
        </w:r>
        <w:r w:rsidR="009F3DC8">
          <w:rPr>
            <w:noProof/>
            <w:webHidden/>
          </w:rPr>
          <w:fldChar w:fldCharType="end"/>
        </w:r>
      </w:hyperlink>
    </w:p>
    <w:p w:rsidR="009F3DC8" w:rsidRDefault="00742D13">
      <w:pPr>
        <w:pStyle w:val="TOC2"/>
        <w:rPr>
          <w:rFonts w:asciiTheme="minorHAnsi" w:eastAsiaTheme="minorEastAsia" w:hAnsiTheme="minorHAnsi" w:cstheme="minorBidi"/>
          <w:noProof/>
          <w:lang w:val="en-AU" w:eastAsia="en-AU"/>
        </w:rPr>
      </w:pPr>
      <w:hyperlink w:anchor="_Toc419489457" w:history="1">
        <w:r w:rsidR="009F3DC8" w:rsidRPr="00256365">
          <w:rPr>
            <w:rStyle w:val="Hyperlink"/>
            <w:noProof/>
          </w:rPr>
          <w:t>Step two: Business buys measuring instrument from supplier</w:t>
        </w:r>
        <w:r w:rsidR="009F3DC8">
          <w:rPr>
            <w:noProof/>
            <w:webHidden/>
          </w:rPr>
          <w:tab/>
        </w:r>
        <w:r w:rsidR="009F3DC8">
          <w:rPr>
            <w:noProof/>
            <w:webHidden/>
          </w:rPr>
          <w:fldChar w:fldCharType="begin"/>
        </w:r>
        <w:r w:rsidR="009F3DC8">
          <w:rPr>
            <w:noProof/>
            <w:webHidden/>
          </w:rPr>
          <w:instrText xml:space="preserve"> PAGEREF _Toc419489457 \h </w:instrText>
        </w:r>
        <w:r w:rsidR="009F3DC8">
          <w:rPr>
            <w:noProof/>
            <w:webHidden/>
          </w:rPr>
        </w:r>
        <w:r w:rsidR="009F3DC8">
          <w:rPr>
            <w:noProof/>
            <w:webHidden/>
          </w:rPr>
          <w:fldChar w:fldCharType="separate"/>
        </w:r>
        <w:r w:rsidR="0049156A">
          <w:rPr>
            <w:noProof/>
            <w:webHidden/>
          </w:rPr>
          <w:t>5</w:t>
        </w:r>
        <w:r w:rsidR="009F3DC8">
          <w:rPr>
            <w:noProof/>
            <w:webHidden/>
          </w:rPr>
          <w:fldChar w:fldCharType="end"/>
        </w:r>
      </w:hyperlink>
    </w:p>
    <w:p w:rsidR="009F3DC8" w:rsidRDefault="00742D13">
      <w:pPr>
        <w:pStyle w:val="TOC2"/>
        <w:rPr>
          <w:rFonts w:asciiTheme="minorHAnsi" w:eastAsiaTheme="minorEastAsia" w:hAnsiTheme="minorHAnsi" w:cstheme="minorBidi"/>
          <w:noProof/>
          <w:lang w:val="en-AU" w:eastAsia="en-AU"/>
        </w:rPr>
      </w:pPr>
      <w:hyperlink w:anchor="_Toc419489458" w:history="1">
        <w:r w:rsidR="009F3DC8" w:rsidRPr="00256365">
          <w:rPr>
            <w:rStyle w:val="Hyperlink"/>
            <w:noProof/>
          </w:rPr>
          <w:t>Step three: Business engages servicing licensee</w:t>
        </w:r>
        <w:r w:rsidR="009F3DC8">
          <w:rPr>
            <w:noProof/>
            <w:webHidden/>
          </w:rPr>
          <w:tab/>
        </w:r>
        <w:r w:rsidR="009F3DC8">
          <w:rPr>
            <w:noProof/>
            <w:webHidden/>
          </w:rPr>
          <w:fldChar w:fldCharType="begin"/>
        </w:r>
        <w:r w:rsidR="009F3DC8">
          <w:rPr>
            <w:noProof/>
            <w:webHidden/>
          </w:rPr>
          <w:instrText xml:space="preserve"> PAGEREF _Toc419489458 \h </w:instrText>
        </w:r>
        <w:r w:rsidR="009F3DC8">
          <w:rPr>
            <w:noProof/>
            <w:webHidden/>
          </w:rPr>
        </w:r>
        <w:r w:rsidR="009F3DC8">
          <w:rPr>
            <w:noProof/>
            <w:webHidden/>
          </w:rPr>
          <w:fldChar w:fldCharType="separate"/>
        </w:r>
        <w:r w:rsidR="0049156A">
          <w:rPr>
            <w:noProof/>
            <w:webHidden/>
          </w:rPr>
          <w:t>5</w:t>
        </w:r>
        <w:r w:rsidR="009F3DC8">
          <w:rPr>
            <w:noProof/>
            <w:webHidden/>
          </w:rPr>
          <w:fldChar w:fldCharType="end"/>
        </w:r>
      </w:hyperlink>
    </w:p>
    <w:p w:rsidR="009F3DC8" w:rsidRDefault="00742D13">
      <w:pPr>
        <w:pStyle w:val="TOC2"/>
        <w:rPr>
          <w:rFonts w:asciiTheme="minorHAnsi" w:eastAsiaTheme="minorEastAsia" w:hAnsiTheme="minorHAnsi" w:cstheme="minorBidi"/>
          <w:noProof/>
          <w:lang w:val="en-AU" w:eastAsia="en-AU"/>
        </w:rPr>
      </w:pPr>
      <w:hyperlink w:anchor="_Toc419489459" w:history="1">
        <w:r w:rsidR="009F3DC8" w:rsidRPr="00256365">
          <w:rPr>
            <w:rStyle w:val="Hyperlink"/>
            <w:noProof/>
          </w:rPr>
          <w:t>Step four: Servcing licensee undertake verification using NITPs</w:t>
        </w:r>
        <w:r w:rsidR="009F3DC8">
          <w:rPr>
            <w:noProof/>
            <w:webHidden/>
          </w:rPr>
          <w:tab/>
        </w:r>
        <w:r w:rsidR="009F3DC8">
          <w:rPr>
            <w:noProof/>
            <w:webHidden/>
          </w:rPr>
          <w:fldChar w:fldCharType="begin"/>
        </w:r>
        <w:r w:rsidR="009F3DC8">
          <w:rPr>
            <w:noProof/>
            <w:webHidden/>
          </w:rPr>
          <w:instrText xml:space="preserve"> PAGEREF _Toc419489459 \h </w:instrText>
        </w:r>
        <w:r w:rsidR="009F3DC8">
          <w:rPr>
            <w:noProof/>
            <w:webHidden/>
          </w:rPr>
        </w:r>
        <w:r w:rsidR="009F3DC8">
          <w:rPr>
            <w:noProof/>
            <w:webHidden/>
          </w:rPr>
          <w:fldChar w:fldCharType="separate"/>
        </w:r>
        <w:r w:rsidR="0049156A">
          <w:rPr>
            <w:noProof/>
            <w:webHidden/>
          </w:rPr>
          <w:t>5</w:t>
        </w:r>
        <w:r w:rsidR="009F3DC8">
          <w:rPr>
            <w:noProof/>
            <w:webHidden/>
          </w:rPr>
          <w:fldChar w:fldCharType="end"/>
        </w:r>
      </w:hyperlink>
    </w:p>
    <w:p w:rsidR="009F3DC8" w:rsidRDefault="00742D13">
      <w:pPr>
        <w:pStyle w:val="TOC2"/>
        <w:rPr>
          <w:rFonts w:asciiTheme="minorHAnsi" w:eastAsiaTheme="minorEastAsia" w:hAnsiTheme="minorHAnsi" w:cstheme="minorBidi"/>
          <w:noProof/>
          <w:lang w:val="en-AU" w:eastAsia="en-AU"/>
        </w:rPr>
      </w:pPr>
      <w:hyperlink w:anchor="_Toc419489460" w:history="1">
        <w:r w:rsidR="009F3DC8" w:rsidRPr="00256365">
          <w:rPr>
            <w:rStyle w:val="Hyperlink"/>
            <w:noProof/>
          </w:rPr>
          <w:t>Step five: Servicing licensee provides notification to NMI</w:t>
        </w:r>
        <w:r w:rsidR="009F3DC8">
          <w:rPr>
            <w:noProof/>
            <w:webHidden/>
          </w:rPr>
          <w:tab/>
        </w:r>
        <w:r w:rsidR="009F3DC8">
          <w:rPr>
            <w:noProof/>
            <w:webHidden/>
          </w:rPr>
          <w:fldChar w:fldCharType="begin"/>
        </w:r>
        <w:r w:rsidR="009F3DC8">
          <w:rPr>
            <w:noProof/>
            <w:webHidden/>
          </w:rPr>
          <w:instrText xml:space="preserve"> PAGEREF _Toc419489460 \h </w:instrText>
        </w:r>
        <w:r w:rsidR="009F3DC8">
          <w:rPr>
            <w:noProof/>
            <w:webHidden/>
          </w:rPr>
        </w:r>
        <w:r w:rsidR="009F3DC8">
          <w:rPr>
            <w:noProof/>
            <w:webHidden/>
          </w:rPr>
          <w:fldChar w:fldCharType="separate"/>
        </w:r>
        <w:r w:rsidR="0049156A">
          <w:rPr>
            <w:noProof/>
            <w:webHidden/>
          </w:rPr>
          <w:t>6</w:t>
        </w:r>
        <w:r w:rsidR="009F3DC8">
          <w:rPr>
            <w:noProof/>
            <w:webHidden/>
          </w:rPr>
          <w:fldChar w:fldCharType="end"/>
        </w:r>
      </w:hyperlink>
    </w:p>
    <w:p w:rsidR="009F3DC8" w:rsidRDefault="00742D13">
      <w:pPr>
        <w:pStyle w:val="TOC2"/>
        <w:rPr>
          <w:rFonts w:asciiTheme="minorHAnsi" w:eastAsiaTheme="minorEastAsia" w:hAnsiTheme="minorHAnsi" w:cstheme="minorBidi"/>
          <w:noProof/>
          <w:lang w:val="en-AU" w:eastAsia="en-AU"/>
        </w:rPr>
      </w:pPr>
      <w:hyperlink w:anchor="_Toc419489461" w:history="1">
        <w:r w:rsidR="009F3DC8" w:rsidRPr="00256365">
          <w:rPr>
            <w:rStyle w:val="Hyperlink"/>
            <w:noProof/>
          </w:rPr>
          <w:t>Step six: Trade measurement inspectors inspect measuring instruments against NITPs</w:t>
        </w:r>
        <w:r w:rsidR="009F3DC8">
          <w:rPr>
            <w:noProof/>
            <w:webHidden/>
          </w:rPr>
          <w:tab/>
        </w:r>
        <w:r w:rsidR="009F3DC8">
          <w:rPr>
            <w:noProof/>
            <w:webHidden/>
          </w:rPr>
          <w:fldChar w:fldCharType="begin"/>
        </w:r>
        <w:r w:rsidR="009F3DC8">
          <w:rPr>
            <w:noProof/>
            <w:webHidden/>
          </w:rPr>
          <w:instrText xml:space="preserve"> PAGEREF _Toc419489461 \h </w:instrText>
        </w:r>
        <w:r w:rsidR="009F3DC8">
          <w:rPr>
            <w:noProof/>
            <w:webHidden/>
          </w:rPr>
        </w:r>
        <w:r w:rsidR="009F3DC8">
          <w:rPr>
            <w:noProof/>
            <w:webHidden/>
          </w:rPr>
          <w:fldChar w:fldCharType="separate"/>
        </w:r>
        <w:r w:rsidR="0049156A">
          <w:rPr>
            <w:noProof/>
            <w:webHidden/>
          </w:rPr>
          <w:t>7</w:t>
        </w:r>
        <w:r w:rsidR="009F3DC8">
          <w:rPr>
            <w:noProof/>
            <w:webHidden/>
          </w:rPr>
          <w:fldChar w:fldCharType="end"/>
        </w:r>
      </w:hyperlink>
    </w:p>
    <w:p w:rsidR="009F3DC8" w:rsidRDefault="00742D13">
      <w:pPr>
        <w:pStyle w:val="TOC1"/>
        <w:tabs>
          <w:tab w:val="right" w:leader="dot" w:pos="8290"/>
        </w:tabs>
        <w:rPr>
          <w:rFonts w:asciiTheme="minorHAnsi" w:eastAsiaTheme="minorEastAsia" w:hAnsiTheme="minorHAnsi" w:cstheme="minorBidi"/>
          <w:noProof/>
          <w:sz w:val="22"/>
          <w:szCs w:val="22"/>
          <w:lang w:val="en-AU" w:eastAsia="en-AU"/>
        </w:rPr>
      </w:pPr>
      <w:hyperlink w:anchor="_Toc419489462" w:history="1">
        <w:r w:rsidR="009F3DC8" w:rsidRPr="00256365">
          <w:rPr>
            <w:rStyle w:val="Hyperlink"/>
            <w:noProof/>
          </w:rPr>
          <w:t>Alternate Approaches</w:t>
        </w:r>
        <w:r w:rsidR="009F3DC8">
          <w:rPr>
            <w:noProof/>
            <w:webHidden/>
          </w:rPr>
          <w:tab/>
        </w:r>
        <w:r w:rsidR="009F3DC8">
          <w:rPr>
            <w:noProof/>
            <w:webHidden/>
          </w:rPr>
          <w:fldChar w:fldCharType="begin"/>
        </w:r>
        <w:r w:rsidR="009F3DC8">
          <w:rPr>
            <w:noProof/>
            <w:webHidden/>
          </w:rPr>
          <w:instrText xml:space="preserve"> PAGEREF _Toc419489462 \h </w:instrText>
        </w:r>
        <w:r w:rsidR="009F3DC8">
          <w:rPr>
            <w:noProof/>
            <w:webHidden/>
          </w:rPr>
        </w:r>
        <w:r w:rsidR="009F3DC8">
          <w:rPr>
            <w:noProof/>
            <w:webHidden/>
          </w:rPr>
          <w:fldChar w:fldCharType="separate"/>
        </w:r>
        <w:r w:rsidR="0049156A">
          <w:rPr>
            <w:noProof/>
            <w:webHidden/>
          </w:rPr>
          <w:t>7</w:t>
        </w:r>
        <w:r w:rsidR="009F3DC8">
          <w:rPr>
            <w:noProof/>
            <w:webHidden/>
          </w:rPr>
          <w:fldChar w:fldCharType="end"/>
        </w:r>
      </w:hyperlink>
    </w:p>
    <w:p w:rsidR="009F3DC8" w:rsidRDefault="00742D13">
      <w:pPr>
        <w:pStyle w:val="TOC1"/>
        <w:tabs>
          <w:tab w:val="right" w:leader="dot" w:pos="8290"/>
        </w:tabs>
        <w:rPr>
          <w:rFonts w:asciiTheme="minorHAnsi" w:eastAsiaTheme="minorEastAsia" w:hAnsiTheme="minorHAnsi" w:cstheme="minorBidi"/>
          <w:noProof/>
          <w:sz w:val="22"/>
          <w:szCs w:val="22"/>
          <w:lang w:val="en-AU" w:eastAsia="en-AU"/>
        </w:rPr>
      </w:pPr>
      <w:hyperlink w:anchor="_Toc419489463" w:history="1">
        <w:r w:rsidR="009F3DC8" w:rsidRPr="00256365">
          <w:rPr>
            <w:rStyle w:val="Hyperlink"/>
            <w:noProof/>
          </w:rPr>
          <w:t>Additional questions</w:t>
        </w:r>
        <w:r w:rsidR="009F3DC8">
          <w:rPr>
            <w:noProof/>
            <w:webHidden/>
          </w:rPr>
          <w:tab/>
        </w:r>
        <w:r w:rsidR="009F3DC8">
          <w:rPr>
            <w:noProof/>
            <w:webHidden/>
          </w:rPr>
          <w:fldChar w:fldCharType="begin"/>
        </w:r>
        <w:r w:rsidR="009F3DC8">
          <w:rPr>
            <w:noProof/>
            <w:webHidden/>
          </w:rPr>
          <w:instrText xml:space="preserve"> PAGEREF _Toc419489463 \h </w:instrText>
        </w:r>
        <w:r w:rsidR="009F3DC8">
          <w:rPr>
            <w:noProof/>
            <w:webHidden/>
          </w:rPr>
        </w:r>
        <w:r w:rsidR="009F3DC8">
          <w:rPr>
            <w:noProof/>
            <w:webHidden/>
          </w:rPr>
          <w:fldChar w:fldCharType="separate"/>
        </w:r>
        <w:r w:rsidR="0049156A">
          <w:rPr>
            <w:noProof/>
            <w:webHidden/>
          </w:rPr>
          <w:t>9</w:t>
        </w:r>
        <w:r w:rsidR="009F3DC8">
          <w:rPr>
            <w:noProof/>
            <w:webHidden/>
          </w:rPr>
          <w:fldChar w:fldCharType="end"/>
        </w:r>
      </w:hyperlink>
    </w:p>
    <w:p w:rsidR="009F3DC8" w:rsidRDefault="00742D13">
      <w:pPr>
        <w:pStyle w:val="TOC1"/>
        <w:tabs>
          <w:tab w:val="right" w:leader="dot" w:pos="8290"/>
        </w:tabs>
        <w:rPr>
          <w:rFonts w:asciiTheme="minorHAnsi" w:eastAsiaTheme="minorEastAsia" w:hAnsiTheme="minorHAnsi" w:cstheme="minorBidi"/>
          <w:noProof/>
          <w:sz w:val="22"/>
          <w:szCs w:val="22"/>
          <w:lang w:val="en-AU" w:eastAsia="en-AU"/>
        </w:rPr>
      </w:pPr>
      <w:hyperlink w:anchor="_Toc419489464" w:history="1">
        <w:r w:rsidR="009F3DC8" w:rsidRPr="00256365">
          <w:rPr>
            <w:rStyle w:val="Hyperlink"/>
            <w:noProof/>
          </w:rPr>
          <w:t>Providing your Feedback</w:t>
        </w:r>
        <w:r w:rsidR="009F3DC8">
          <w:rPr>
            <w:noProof/>
            <w:webHidden/>
          </w:rPr>
          <w:tab/>
        </w:r>
        <w:r w:rsidR="009F3DC8">
          <w:rPr>
            <w:noProof/>
            <w:webHidden/>
          </w:rPr>
          <w:fldChar w:fldCharType="begin"/>
        </w:r>
        <w:r w:rsidR="009F3DC8">
          <w:rPr>
            <w:noProof/>
            <w:webHidden/>
          </w:rPr>
          <w:instrText xml:space="preserve"> PAGEREF _Toc419489464 \h </w:instrText>
        </w:r>
        <w:r w:rsidR="009F3DC8">
          <w:rPr>
            <w:noProof/>
            <w:webHidden/>
          </w:rPr>
        </w:r>
        <w:r w:rsidR="009F3DC8">
          <w:rPr>
            <w:noProof/>
            <w:webHidden/>
          </w:rPr>
          <w:fldChar w:fldCharType="separate"/>
        </w:r>
        <w:r w:rsidR="0049156A">
          <w:rPr>
            <w:noProof/>
            <w:webHidden/>
          </w:rPr>
          <w:t>11</w:t>
        </w:r>
        <w:r w:rsidR="009F3DC8">
          <w:rPr>
            <w:noProof/>
            <w:webHidden/>
          </w:rPr>
          <w:fldChar w:fldCharType="end"/>
        </w:r>
      </w:hyperlink>
    </w:p>
    <w:p w:rsidR="009F3DC8" w:rsidRDefault="00742D13">
      <w:pPr>
        <w:pStyle w:val="TOC2"/>
        <w:rPr>
          <w:rFonts w:asciiTheme="minorHAnsi" w:eastAsiaTheme="minorEastAsia" w:hAnsiTheme="minorHAnsi" w:cstheme="minorBidi"/>
          <w:noProof/>
          <w:lang w:val="en-AU" w:eastAsia="en-AU"/>
        </w:rPr>
      </w:pPr>
      <w:hyperlink w:anchor="_Toc419489465" w:history="1">
        <w:r w:rsidR="009F3DC8" w:rsidRPr="00256365">
          <w:rPr>
            <w:rStyle w:val="Hyperlink"/>
            <w:noProof/>
            <w:lang w:val="en-AU"/>
          </w:rPr>
          <w:t>Providing a confidential submission</w:t>
        </w:r>
        <w:r w:rsidR="009F3DC8">
          <w:rPr>
            <w:noProof/>
            <w:webHidden/>
          </w:rPr>
          <w:tab/>
        </w:r>
        <w:r w:rsidR="009F3DC8">
          <w:rPr>
            <w:noProof/>
            <w:webHidden/>
          </w:rPr>
          <w:fldChar w:fldCharType="begin"/>
        </w:r>
        <w:r w:rsidR="009F3DC8">
          <w:rPr>
            <w:noProof/>
            <w:webHidden/>
          </w:rPr>
          <w:instrText xml:space="preserve"> PAGEREF _Toc419489465 \h </w:instrText>
        </w:r>
        <w:r w:rsidR="009F3DC8">
          <w:rPr>
            <w:noProof/>
            <w:webHidden/>
          </w:rPr>
        </w:r>
        <w:r w:rsidR="009F3DC8">
          <w:rPr>
            <w:noProof/>
            <w:webHidden/>
          </w:rPr>
          <w:fldChar w:fldCharType="separate"/>
        </w:r>
        <w:r w:rsidR="0049156A">
          <w:rPr>
            <w:noProof/>
            <w:webHidden/>
          </w:rPr>
          <w:t>12</w:t>
        </w:r>
        <w:r w:rsidR="009F3DC8">
          <w:rPr>
            <w:noProof/>
            <w:webHidden/>
          </w:rPr>
          <w:fldChar w:fldCharType="end"/>
        </w:r>
      </w:hyperlink>
    </w:p>
    <w:p w:rsidR="00AF068A" w:rsidRDefault="00AF068A">
      <w:r>
        <w:rPr>
          <w:b/>
          <w:bCs/>
          <w:noProof/>
        </w:rPr>
        <w:fldChar w:fldCharType="end"/>
      </w:r>
    </w:p>
    <w:p w:rsidR="00B22BCA" w:rsidRPr="00212545" w:rsidRDefault="00B22BCA">
      <w:pPr>
        <w:spacing w:after="0"/>
        <w:rPr>
          <w:rFonts w:eastAsia="MS Gothic"/>
          <w:b/>
          <w:bCs/>
          <w:sz w:val="40"/>
          <w:szCs w:val="32"/>
        </w:rPr>
      </w:pPr>
      <w:r>
        <w:br w:type="page"/>
      </w:r>
    </w:p>
    <w:p w:rsidR="000C2555" w:rsidRDefault="00587CD9" w:rsidP="0048325C">
      <w:pPr>
        <w:pStyle w:val="Heading1"/>
      </w:pPr>
      <w:bookmarkStart w:id="1" w:name="_Toc419489447"/>
      <w:r>
        <w:lastRenderedPageBreak/>
        <w:t>Introduction</w:t>
      </w:r>
      <w:bookmarkEnd w:id="1"/>
    </w:p>
    <w:p w:rsidR="00587CD9" w:rsidRPr="00C94D4D" w:rsidRDefault="00587CD9" w:rsidP="00587CD9">
      <w:pPr>
        <w:rPr>
          <w:color w:val="000000" w:themeColor="text1"/>
        </w:rPr>
      </w:pPr>
      <w:r w:rsidRPr="004A40B4">
        <w:rPr>
          <w:color w:val="000000" w:themeColor="text1"/>
        </w:rPr>
        <w:t xml:space="preserve">The purpose of this document is to seek comment and submissions from stakeholders to inform a </w:t>
      </w:r>
      <w:r>
        <w:t>review of the National Instrument Test Procedures (NITPs)</w:t>
      </w:r>
      <w:r w:rsidRPr="00C94D4D">
        <w:rPr>
          <w:color w:val="000000" w:themeColor="text1"/>
        </w:rPr>
        <w:t xml:space="preserve">. </w:t>
      </w:r>
    </w:p>
    <w:p w:rsidR="00587CD9" w:rsidRDefault="00587CD9" w:rsidP="00587CD9">
      <w:pPr>
        <w:rPr>
          <w:color w:val="000000" w:themeColor="text1"/>
        </w:rPr>
      </w:pPr>
      <w:r w:rsidRPr="00C94D4D">
        <w:rPr>
          <w:color w:val="000000" w:themeColor="text1"/>
        </w:rPr>
        <w:t xml:space="preserve">This consultation paper </w:t>
      </w:r>
      <w:r>
        <w:rPr>
          <w:color w:val="000000" w:themeColor="text1"/>
        </w:rPr>
        <w:t xml:space="preserve">provides an overview of </w:t>
      </w:r>
      <w:r w:rsidRPr="00C94D4D">
        <w:rPr>
          <w:color w:val="000000" w:themeColor="text1"/>
        </w:rPr>
        <w:t xml:space="preserve">the current trade measurement system and seeks input on the scope for improvements that may reduce the regulatory burden on business and </w:t>
      </w:r>
      <w:r>
        <w:rPr>
          <w:color w:val="000000" w:themeColor="text1"/>
        </w:rPr>
        <w:t>servicing licensee</w:t>
      </w:r>
      <w:r w:rsidRPr="00C94D4D">
        <w:rPr>
          <w:color w:val="000000" w:themeColor="text1"/>
        </w:rPr>
        <w:t>s</w:t>
      </w:r>
      <w:r>
        <w:rPr>
          <w:color w:val="000000" w:themeColor="text1"/>
        </w:rPr>
        <w:t xml:space="preserve"> in relation to </w:t>
      </w:r>
      <w:r>
        <w:t>NITPs</w:t>
      </w:r>
      <w:r w:rsidRPr="00C94D4D">
        <w:rPr>
          <w:color w:val="000000" w:themeColor="text1"/>
        </w:rPr>
        <w:t xml:space="preserve">. </w:t>
      </w:r>
      <w:r>
        <w:rPr>
          <w:color w:val="000000" w:themeColor="text1"/>
        </w:rPr>
        <w:t xml:space="preserve"> </w:t>
      </w:r>
    </w:p>
    <w:p w:rsidR="00587CD9" w:rsidRPr="00C94D4D" w:rsidRDefault="00587CD9" w:rsidP="00587CD9">
      <w:pPr>
        <w:pStyle w:val="Heading1"/>
      </w:pPr>
      <w:bookmarkStart w:id="2" w:name="_Toc419489448"/>
      <w:r>
        <w:t>Scope</w:t>
      </w:r>
      <w:bookmarkEnd w:id="2"/>
    </w:p>
    <w:p w:rsidR="00587CD9" w:rsidRDefault="00587CD9" w:rsidP="00587CD9">
      <w:pPr>
        <w:rPr>
          <w:color w:val="000000" w:themeColor="text1"/>
        </w:rPr>
      </w:pPr>
      <w:r w:rsidRPr="00C94D4D">
        <w:rPr>
          <w:color w:val="000000" w:themeColor="text1"/>
        </w:rPr>
        <w:t xml:space="preserve">This review does not include utility meters as utility meters are not tested by </w:t>
      </w:r>
      <w:r>
        <w:rPr>
          <w:color w:val="000000" w:themeColor="text1"/>
        </w:rPr>
        <w:t>servicing licensee</w:t>
      </w:r>
      <w:r w:rsidRPr="00C94D4D">
        <w:rPr>
          <w:color w:val="000000" w:themeColor="text1"/>
        </w:rPr>
        <w:t xml:space="preserve">s and are managed under a different framework. Testing of utility meters will continue to be undertaken in accordance with the requirements and procedures specified in NITP 14 (Utility Meters) and therefore are out of scope for discussion within this paper. </w:t>
      </w:r>
    </w:p>
    <w:p w:rsidR="00587CD9" w:rsidRPr="00C94D4D" w:rsidRDefault="00587CD9" w:rsidP="00587CD9">
      <w:pPr>
        <w:pStyle w:val="Heading1"/>
      </w:pPr>
      <w:bookmarkStart w:id="3" w:name="_Toc419489449"/>
      <w:r>
        <w:t>What is the Issue?</w:t>
      </w:r>
      <w:bookmarkEnd w:id="3"/>
    </w:p>
    <w:p w:rsidR="00587CD9" w:rsidRDefault="00587CD9" w:rsidP="00587CD9">
      <w:pPr>
        <w:rPr>
          <w:color w:val="000000" w:themeColor="text1"/>
        </w:rPr>
      </w:pPr>
      <w:r>
        <w:rPr>
          <w:color w:val="000000" w:themeColor="text1"/>
        </w:rPr>
        <w:t>T</w:t>
      </w:r>
      <w:r w:rsidRPr="00C94D4D">
        <w:rPr>
          <w:color w:val="000000" w:themeColor="text1"/>
        </w:rPr>
        <w:t xml:space="preserve">he </w:t>
      </w:r>
      <w:r>
        <w:rPr>
          <w:color w:val="000000" w:themeColor="text1"/>
        </w:rPr>
        <w:t>National Measurement Institute (NMI)</w:t>
      </w:r>
      <w:r w:rsidRPr="00C94D4D">
        <w:rPr>
          <w:color w:val="000000" w:themeColor="text1"/>
        </w:rPr>
        <w:t xml:space="preserve"> is considering </w:t>
      </w:r>
      <w:r w:rsidR="00453480">
        <w:rPr>
          <w:color w:val="000000" w:themeColor="text1"/>
        </w:rPr>
        <w:t>ways</w:t>
      </w:r>
      <w:r w:rsidRPr="00C94D4D">
        <w:rPr>
          <w:color w:val="000000" w:themeColor="text1"/>
        </w:rPr>
        <w:t xml:space="preserve"> to reduce the compliance costs on </w:t>
      </w:r>
      <w:r>
        <w:rPr>
          <w:color w:val="000000" w:themeColor="text1"/>
        </w:rPr>
        <w:t>servicing licensee</w:t>
      </w:r>
      <w:r w:rsidRPr="00C94D4D">
        <w:rPr>
          <w:color w:val="000000" w:themeColor="text1"/>
        </w:rPr>
        <w:t>s and business through regulation reform.</w:t>
      </w:r>
      <w:r>
        <w:rPr>
          <w:color w:val="000000" w:themeColor="text1"/>
        </w:rPr>
        <w:t xml:space="preserve"> </w:t>
      </w:r>
    </w:p>
    <w:p w:rsidR="00E95B57" w:rsidRPr="00C94D4D" w:rsidRDefault="00E95B57" w:rsidP="00E95B57">
      <w:pPr>
        <w:pStyle w:val="Heading1"/>
      </w:pPr>
      <w:bookmarkStart w:id="4" w:name="_Toc419489450"/>
      <w:r>
        <w:t>Objectives of Consultation</w:t>
      </w:r>
      <w:bookmarkEnd w:id="4"/>
    </w:p>
    <w:p w:rsidR="00E95B57" w:rsidRPr="00C94D4D" w:rsidRDefault="00E95B57" w:rsidP="00E95B57">
      <w:pPr>
        <w:rPr>
          <w:color w:val="000000" w:themeColor="text1"/>
        </w:rPr>
      </w:pPr>
      <w:r>
        <w:rPr>
          <w:color w:val="000000" w:themeColor="text1"/>
        </w:rPr>
        <w:t>NMI</w:t>
      </w:r>
      <w:r w:rsidRPr="00C94D4D">
        <w:rPr>
          <w:color w:val="000000" w:themeColor="text1"/>
        </w:rPr>
        <w:t xml:space="preserve"> is seeking industry views on </w:t>
      </w:r>
      <w:r>
        <w:rPr>
          <w:color w:val="000000" w:themeColor="text1"/>
        </w:rPr>
        <w:t xml:space="preserve">the use and effectiveness of the NITPs as part of </w:t>
      </w:r>
      <w:r w:rsidRPr="00C94D4D">
        <w:rPr>
          <w:color w:val="000000" w:themeColor="text1"/>
        </w:rPr>
        <w:t>the trade measurement system and would like to hear from industry if there are any improvements that can be made including:</w:t>
      </w:r>
    </w:p>
    <w:p w:rsidR="00587CD9" w:rsidRDefault="00E95B57" w:rsidP="00E95B57">
      <w:pPr>
        <w:pStyle w:val="ListParagraph"/>
        <w:numPr>
          <w:ilvl w:val="0"/>
          <w:numId w:val="11"/>
        </w:numPr>
      </w:pPr>
      <w:r>
        <w:t>Is the current NITP system working effectively?; and</w:t>
      </w:r>
    </w:p>
    <w:p w:rsidR="00E95B57" w:rsidRDefault="00E95B57" w:rsidP="00E95B57">
      <w:pPr>
        <w:pStyle w:val="ListParagraph"/>
        <w:numPr>
          <w:ilvl w:val="0"/>
          <w:numId w:val="11"/>
        </w:numPr>
      </w:pPr>
      <w:r>
        <w:t>Are there changes to the current system that can be made to reduce the compliance burden?</w:t>
      </w:r>
    </w:p>
    <w:p w:rsidR="00E95B57" w:rsidRPr="00587CD9" w:rsidRDefault="00E95B57" w:rsidP="00E95B57">
      <w:pPr>
        <w:pStyle w:val="Heading1"/>
      </w:pPr>
      <w:bookmarkStart w:id="5" w:name="_Toc419489451"/>
      <w:r>
        <w:lastRenderedPageBreak/>
        <w:t>Background</w:t>
      </w:r>
      <w:bookmarkEnd w:id="5"/>
    </w:p>
    <w:p w:rsidR="00AF068A" w:rsidRDefault="002864C3" w:rsidP="00AF068A">
      <w:pPr>
        <w:pStyle w:val="Heading2"/>
      </w:pPr>
      <w:bookmarkStart w:id="6" w:name="_Toc419489452"/>
      <w:r>
        <w:t>What is t</w:t>
      </w:r>
      <w:r w:rsidR="00E95B57">
        <w:t xml:space="preserve">rade </w:t>
      </w:r>
      <w:r>
        <w:t>m</w:t>
      </w:r>
      <w:r w:rsidR="00E95B57">
        <w:t>easurement?</w:t>
      </w:r>
      <w:bookmarkEnd w:id="6"/>
    </w:p>
    <w:p w:rsidR="00E95B57" w:rsidRDefault="00E95B57" w:rsidP="00E95B57">
      <w:pPr>
        <w:rPr>
          <w:color w:val="000000" w:themeColor="text1"/>
        </w:rPr>
      </w:pPr>
      <w:r w:rsidRPr="00C94D4D">
        <w:rPr>
          <w:color w:val="000000" w:themeColor="text1"/>
        </w:rPr>
        <w:t xml:space="preserve">Trade measurement refers to all transactions in which the price of the commodities or goods is based on measurement of quantity or quality. Petrol pumps, retail scales and weighbridges are examples of some of the instruments that the public and business rely on every day to be accurate and fit-for-purpose. </w:t>
      </w:r>
      <w:r w:rsidR="00453480">
        <w:rPr>
          <w:color w:val="000000" w:themeColor="text1"/>
        </w:rPr>
        <w:t>Studies have indicated the annual value of goods sold by measure is approximately 50 percent of GDP in developed countries.</w:t>
      </w:r>
      <w:r w:rsidR="00453480">
        <w:rPr>
          <w:rStyle w:val="FootnoteReference"/>
          <w:color w:val="000000" w:themeColor="text1"/>
        </w:rPr>
        <w:footnoteReference w:id="1"/>
      </w:r>
      <w:r w:rsidR="00453480">
        <w:rPr>
          <w:color w:val="000000" w:themeColor="text1"/>
        </w:rPr>
        <w:t xml:space="preserve"> Using this estimate, the trade and measurement system in Australia supports transactions worth greater than </w:t>
      </w:r>
      <w:r w:rsidRPr="00C94D4D">
        <w:rPr>
          <w:color w:val="000000" w:themeColor="text1"/>
        </w:rPr>
        <w:t>$400 billion</w:t>
      </w:r>
      <w:r w:rsidR="00453480">
        <w:rPr>
          <w:color w:val="000000" w:themeColor="text1"/>
        </w:rPr>
        <w:t xml:space="preserve"> per annum</w:t>
      </w:r>
      <w:r w:rsidRPr="00C94D4D">
        <w:rPr>
          <w:color w:val="000000" w:themeColor="text1"/>
        </w:rPr>
        <w:t>. Of this, business-to-business transactions account for about 75 per cent and retail transactions make up 25 per cent.</w:t>
      </w:r>
      <w:r w:rsidRPr="00C94D4D">
        <w:rPr>
          <w:color w:val="000000" w:themeColor="text1"/>
          <w:vertAlign w:val="superscript"/>
        </w:rPr>
        <w:footnoteReference w:id="2"/>
      </w:r>
      <w:r w:rsidRPr="00C94D4D">
        <w:rPr>
          <w:color w:val="000000" w:themeColor="text1"/>
        </w:rPr>
        <w:t xml:space="preserve"> </w:t>
      </w:r>
    </w:p>
    <w:p w:rsidR="00E95B57" w:rsidRDefault="00E95B57" w:rsidP="00E95B57">
      <w:pPr>
        <w:rPr>
          <w:color w:val="000000" w:themeColor="text1"/>
        </w:rPr>
      </w:pPr>
      <w:r w:rsidRPr="00C94D4D">
        <w:rPr>
          <w:color w:val="000000" w:themeColor="text1"/>
        </w:rPr>
        <w:t>The trade measurement system ensures transactions are fair and equitable, giving confidence to buyers and sellers that the transaction is based on accurate measurement. The national measurement legislation requires measuring instruments used for trade to be pattern approved</w:t>
      </w:r>
      <w:r w:rsidRPr="00C94D4D">
        <w:rPr>
          <w:rStyle w:val="FootnoteReference"/>
          <w:color w:val="000000" w:themeColor="text1"/>
        </w:rPr>
        <w:footnoteReference w:id="3"/>
      </w:r>
      <w:r w:rsidRPr="00C94D4D">
        <w:rPr>
          <w:color w:val="000000" w:themeColor="text1"/>
        </w:rPr>
        <w:t xml:space="preserve"> and verified. </w:t>
      </w:r>
    </w:p>
    <w:p w:rsidR="00E95B57" w:rsidRPr="00255E80" w:rsidRDefault="00E95B57" w:rsidP="00E95B57">
      <w:pPr>
        <w:rPr>
          <w:color w:val="000000" w:themeColor="text1"/>
        </w:rPr>
      </w:pPr>
      <w:r>
        <w:rPr>
          <w:color w:val="000000" w:themeColor="text1"/>
        </w:rPr>
        <w:t xml:space="preserve">NMI, a division of the Department of Industry and Science (DIS), is responsible for maintaining Australia’s national measurement system and administering the functions detailed in the National Measurement Act and its subordinate regulations. </w:t>
      </w:r>
    </w:p>
    <w:p w:rsidR="00E95B57" w:rsidRDefault="00E95B57" w:rsidP="00E95B57">
      <w:pPr>
        <w:pStyle w:val="Heading2"/>
      </w:pPr>
      <w:bookmarkStart w:id="7" w:name="_Toc419489453"/>
      <w:r>
        <w:t>What are the National Instrument Test Procedures?</w:t>
      </w:r>
      <w:bookmarkEnd w:id="7"/>
    </w:p>
    <w:p w:rsidR="00E95B57" w:rsidRDefault="00E95B57" w:rsidP="00E95B57">
      <w:pPr>
        <w:rPr>
          <w:color w:val="000000" w:themeColor="text1"/>
        </w:rPr>
      </w:pPr>
      <w:r w:rsidRPr="00C94D4D">
        <w:rPr>
          <w:color w:val="000000" w:themeColor="text1"/>
        </w:rPr>
        <w:t xml:space="preserve">The </w:t>
      </w:r>
      <w:r>
        <w:rPr>
          <w:color w:val="000000" w:themeColor="text1"/>
        </w:rPr>
        <w:t>NITPs</w:t>
      </w:r>
      <w:r w:rsidRPr="00C94D4D">
        <w:rPr>
          <w:color w:val="000000" w:themeColor="text1"/>
        </w:rPr>
        <w:t xml:space="preserve"> are developed by NMI </w:t>
      </w:r>
      <w:r>
        <w:rPr>
          <w:color w:val="000000" w:themeColor="text1"/>
        </w:rPr>
        <w:t xml:space="preserve">in consultation with industry </w:t>
      </w:r>
      <w:r w:rsidRPr="00C94D4D">
        <w:rPr>
          <w:color w:val="000000" w:themeColor="text1"/>
        </w:rPr>
        <w:t xml:space="preserve">and detail nationally consistent procedures for testing the accuracy of trade measurement instruments. The NITPs </w:t>
      </w:r>
      <w:r>
        <w:rPr>
          <w:color w:val="000000" w:themeColor="text1"/>
        </w:rPr>
        <w:t>include</w:t>
      </w:r>
      <w:r w:rsidRPr="00C94D4D">
        <w:rPr>
          <w:color w:val="000000" w:themeColor="text1"/>
        </w:rPr>
        <w:t xml:space="preserve"> the required equipment, test methods, general requirements (such as required markings), error limits and the test report that </w:t>
      </w:r>
      <w:r>
        <w:rPr>
          <w:color w:val="000000" w:themeColor="text1"/>
        </w:rPr>
        <w:t>is</w:t>
      </w:r>
      <w:r w:rsidRPr="00C94D4D">
        <w:rPr>
          <w:color w:val="000000" w:themeColor="text1"/>
        </w:rPr>
        <w:t xml:space="preserve"> completed as part of verification. Currently, there are 20 NITPs published on the NMI website.</w:t>
      </w:r>
      <w:r>
        <w:rPr>
          <w:color w:val="000000" w:themeColor="text1"/>
        </w:rPr>
        <w:t xml:space="preserve"> </w:t>
      </w:r>
    </w:p>
    <w:p w:rsidR="00E95B57" w:rsidRDefault="00E95B57" w:rsidP="00E95B57">
      <w:pPr>
        <w:spacing w:before="120"/>
        <w:rPr>
          <w:color w:val="000000" w:themeColor="text1"/>
        </w:rPr>
      </w:pPr>
      <w:r w:rsidRPr="00C94D4D">
        <w:rPr>
          <w:color w:val="000000" w:themeColor="text1"/>
        </w:rPr>
        <w:t xml:space="preserve">Currently a distinction is made </w:t>
      </w:r>
      <w:r>
        <w:rPr>
          <w:color w:val="000000" w:themeColor="text1"/>
        </w:rPr>
        <w:t xml:space="preserve">by NMI </w:t>
      </w:r>
      <w:r w:rsidRPr="00C94D4D">
        <w:rPr>
          <w:color w:val="000000" w:themeColor="text1"/>
        </w:rPr>
        <w:t xml:space="preserve">between simple and complex measuring instruments. </w:t>
      </w:r>
      <w:r>
        <w:rPr>
          <w:color w:val="000000" w:themeColor="text1"/>
        </w:rPr>
        <w:t xml:space="preserve">This distinction is made to categorise the instruments into groups based on the complexity of the instrument testing processes. </w:t>
      </w:r>
      <w:r w:rsidRPr="00C94D4D">
        <w:rPr>
          <w:color w:val="000000" w:themeColor="text1"/>
        </w:rPr>
        <w:t>Complex measuring instruments include:</w:t>
      </w:r>
    </w:p>
    <w:p w:rsidR="00E95B57" w:rsidRPr="006B1915" w:rsidRDefault="00E95B57" w:rsidP="00E95B57">
      <w:pPr>
        <w:pStyle w:val="Bullets"/>
      </w:pPr>
      <w:r w:rsidRPr="006B1915">
        <w:t>automatic rail weighbridges;</w:t>
      </w:r>
    </w:p>
    <w:p w:rsidR="00E95B57" w:rsidRPr="00C94D4D" w:rsidRDefault="00E95B57" w:rsidP="00E95B57">
      <w:pPr>
        <w:pStyle w:val="Bullets"/>
      </w:pPr>
      <w:r w:rsidRPr="00C94D4D">
        <w:t>belt weighers;</w:t>
      </w:r>
    </w:p>
    <w:p w:rsidR="00E95B57" w:rsidRPr="00C94D4D" w:rsidRDefault="00E95B57" w:rsidP="00E95B57">
      <w:pPr>
        <w:pStyle w:val="Bullets"/>
      </w:pPr>
      <w:r w:rsidRPr="00C94D4D">
        <w:t>bulk flowmetering systems;</w:t>
      </w:r>
    </w:p>
    <w:p w:rsidR="00E95B57" w:rsidRPr="00C94D4D" w:rsidRDefault="00E95B57" w:rsidP="00E95B57">
      <w:pPr>
        <w:pStyle w:val="Bullets"/>
      </w:pPr>
      <w:r w:rsidRPr="00C94D4D">
        <w:lastRenderedPageBreak/>
        <w:t>LPG dispensers and flowmetering system;</w:t>
      </w:r>
    </w:p>
    <w:p w:rsidR="00E95B57" w:rsidRPr="00C94D4D" w:rsidRDefault="00E95B57" w:rsidP="00E95B57">
      <w:pPr>
        <w:pStyle w:val="Bullets"/>
      </w:pPr>
      <w:r w:rsidRPr="00C94D4D">
        <w:t>totalising hoppers; and</w:t>
      </w:r>
    </w:p>
    <w:p w:rsidR="00E95B57" w:rsidRDefault="00E95B57" w:rsidP="00E95B57">
      <w:pPr>
        <w:pStyle w:val="Bullets"/>
      </w:pPr>
      <w:r w:rsidRPr="00C94D4D">
        <w:t>weighbridges.</w:t>
      </w:r>
    </w:p>
    <w:p w:rsidR="00E95B57" w:rsidRDefault="002864C3" w:rsidP="00C140DE">
      <w:pPr>
        <w:pStyle w:val="Heading2"/>
      </w:pPr>
      <w:bookmarkStart w:id="8" w:name="_Toc419489454"/>
      <w:r>
        <w:t>What are s</w:t>
      </w:r>
      <w:r w:rsidR="00C140DE">
        <w:t xml:space="preserve">ervicing </w:t>
      </w:r>
      <w:r>
        <w:t>l</w:t>
      </w:r>
      <w:r w:rsidR="00C140DE">
        <w:t>icensees?</w:t>
      </w:r>
      <w:bookmarkEnd w:id="8"/>
    </w:p>
    <w:p w:rsidR="00C140DE" w:rsidRDefault="00C140DE" w:rsidP="00C140DE">
      <w:pPr>
        <w:spacing w:before="120"/>
        <w:rPr>
          <w:color w:val="000000" w:themeColor="text1"/>
        </w:rPr>
      </w:pPr>
      <w:r>
        <w:rPr>
          <w:color w:val="000000" w:themeColor="text1"/>
        </w:rPr>
        <w:t>Servicing licensee</w:t>
      </w:r>
      <w:r w:rsidRPr="00C94D4D">
        <w:rPr>
          <w:color w:val="000000" w:themeColor="text1"/>
        </w:rPr>
        <w:t xml:space="preserve">s are competent businesses appointed by NMI to test trade measuring instruments in accordance with the procedures detailed in the NITPs. Licenses are granted </w:t>
      </w:r>
      <w:r>
        <w:rPr>
          <w:color w:val="000000" w:themeColor="text1"/>
        </w:rPr>
        <w:t xml:space="preserve">under the </w:t>
      </w:r>
      <w:r>
        <w:rPr>
          <w:i/>
          <w:color w:val="000000" w:themeColor="text1"/>
        </w:rPr>
        <w:t>National Measurement Act.</w:t>
      </w:r>
      <w:r>
        <w:rPr>
          <w:color w:val="000000" w:themeColor="text1"/>
        </w:rPr>
        <w:t xml:space="preserve"> As part of this process, servicing licensees are required to meet conditions stipulated under the national measurement legislation.</w:t>
      </w:r>
    </w:p>
    <w:p w:rsidR="00C140DE" w:rsidRPr="004A40B4" w:rsidRDefault="00C140DE" w:rsidP="00C140DE">
      <w:pPr>
        <w:spacing w:before="120"/>
        <w:rPr>
          <w:color w:val="000000" w:themeColor="text1"/>
        </w:rPr>
      </w:pPr>
      <w:r>
        <w:rPr>
          <w:color w:val="000000" w:themeColor="text1"/>
        </w:rPr>
        <w:t xml:space="preserve">Servicing licensees </w:t>
      </w:r>
      <w:r w:rsidR="0071378B">
        <w:rPr>
          <w:color w:val="000000" w:themeColor="text1"/>
        </w:rPr>
        <w:t xml:space="preserve">employ </w:t>
      </w:r>
      <w:r>
        <w:rPr>
          <w:color w:val="000000" w:themeColor="text1"/>
        </w:rPr>
        <w:t xml:space="preserve">individuals that have obtained the required training and competency to be appointed as a verifier. </w:t>
      </w:r>
    </w:p>
    <w:p w:rsidR="00C140DE" w:rsidRDefault="00C140DE" w:rsidP="00C140DE">
      <w:pPr>
        <w:pStyle w:val="Heading2"/>
      </w:pPr>
      <w:bookmarkStart w:id="9" w:name="_Toc419489455"/>
      <w:r>
        <w:t xml:space="preserve">The </w:t>
      </w:r>
      <w:r w:rsidR="002864C3">
        <w:t>c</w:t>
      </w:r>
      <w:r>
        <w:t xml:space="preserve">urrent </w:t>
      </w:r>
      <w:r w:rsidR="002864C3">
        <w:t>s</w:t>
      </w:r>
      <w:r>
        <w:t>ystem</w:t>
      </w:r>
      <w:bookmarkEnd w:id="9"/>
    </w:p>
    <w:p w:rsidR="00C140DE" w:rsidRDefault="001E7B1C" w:rsidP="00C140DE">
      <w:r>
        <w:rPr>
          <w:noProof/>
          <w:lang w:val="en-AU" w:eastAsia="en-AU"/>
        </w:rPr>
        <w:drawing>
          <wp:inline distT="0" distB="0" distL="0" distR="0" wp14:anchorId="45C084A9" wp14:editId="05AE323F">
            <wp:extent cx="4572000" cy="3429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pic:spPr>
                </pic:pic>
              </a:graphicData>
            </a:graphic>
          </wp:inline>
        </w:drawing>
      </w:r>
    </w:p>
    <w:p w:rsidR="00334319" w:rsidRDefault="00334319" w:rsidP="00334319">
      <w:pPr>
        <w:spacing w:before="120"/>
      </w:pPr>
      <w:r>
        <w:rPr>
          <w:color w:val="000000" w:themeColor="text1"/>
        </w:rPr>
        <w:t xml:space="preserve">This section outlines </w:t>
      </w:r>
      <w:r>
        <w:t xml:space="preserve">the requirements for each step in the above diagram, noting who is burdened by the requirements and when. </w:t>
      </w:r>
    </w:p>
    <w:p w:rsidR="00334319" w:rsidRPr="00047313" w:rsidRDefault="00334319" w:rsidP="00334319">
      <w:pPr>
        <w:spacing w:before="120"/>
      </w:pPr>
      <w:r>
        <w:t xml:space="preserve">There are questions throughout the document to assess the </w:t>
      </w:r>
      <w:r w:rsidRPr="00047313">
        <w:t>regulatory burden and seek feedback on opportunities for reform</w:t>
      </w:r>
      <w:r>
        <w:t xml:space="preserve"> </w:t>
      </w:r>
      <w:r w:rsidRPr="00047313">
        <w:t xml:space="preserve">that may benefit </w:t>
      </w:r>
      <w:r w:rsidRPr="00047313">
        <w:rPr>
          <w:color w:val="000000" w:themeColor="text1"/>
        </w:rPr>
        <w:t xml:space="preserve">business and </w:t>
      </w:r>
      <w:r>
        <w:rPr>
          <w:color w:val="000000" w:themeColor="text1"/>
        </w:rPr>
        <w:t>servicing licensee</w:t>
      </w:r>
      <w:r w:rsidRPr="00047313">
        <w:rPr>
          <w:color w:val="000000" w:themeColor="text1"/>
        </w:rPr>
        <w:t>s.</w:t>
      </w:r>
      <w:r>
        <w:rPr>
          <w:color w:val="000000" w:themeColor="text1"/>
        </w:rPr>
        <w:t xml:space="preserve"> </w:t>
      </w:r>
    </w:p>
    <w:p w:rsidR="00334319" w:rsidRDefault="00062999" w:rsidP="00062999">
      <w:pPr>
        <w:pStyle w:val="Heading2"/>
      </w:pPr>
      <w:bookmarkStart w:id="10" w:name="_Toc419489456"/>
      <w:r>
        <w:t xml:space="preserve">Step </w:t>
      </w:r>
      <w:r w:rsidR="002864C3">
        <w:t>o</w:t>
      </w:r>
      <w:r>
        <w:t xml:space="preserve">ne: </w:t>
      </w:r>
      <w:r w:rsidR="002864C3">
        <w:t>P</w:t>
      </w:r>
      <w:r>
        <w:t xml:space="preserve">attern </w:t>
      </w:r>
      <w:r w:rsidR="002864C3">
        <w:t>a</w:t>
      </w:r>
      <w:r>
        <w:t>pproval</w:t>
      </w:r>
      <w:bookmarkEnd w:id="10"/>
    </w:p>
    <w:p w:rsidR="00193EA0" w:rsidRPr="00047313" w:rsidRDefault="00193EA0" w:rsidP="00193EA0">
      <w:pPr>
        <w:rPr>
          <w:color w:val="000000" w:themeColor="text1"/>
        </w:rPr>
      </w:pPr>
      <w:r w:rsidRPr="00047313">
        <w:rPr>
          <w:color w:val="000000" w:themeColor="text1"/>
        </w:rPr>
        <w:t xml:space="preserve">The </w:t>
      </w:r>
      <w:r w:rsidRPr="00047313">
        <w:rPr>
          <w:i/>
          <w:color w:val="000000" w:themeColor="text1"/>
        </w:rPr>
        <w:t>National Measurement Act 1960</w:t>
      </w:r>
      <w:r w:rsidRPr="00047313">
        <w:rPr>
          <w:color w:val="000000" w:themeColor="text1"/>
        </w:rPr>
        <w:t xml:space="preserve"> (Cth) provides the legal basis for examining and approving patterns (designs) of measuring instruments suitable for use for trade and other legal purposes. The legislation requires that every measuring instrument that is in use for trade be of a</w:t>
      </w:r>
      <w:r>
        <w:rPr>
          <w:color w:val="000000" w:themeColor="text1"/>
        </w:rPr>
        <w:t xml:space="preserve">n </w:t>
      </w:r>
      <w:r w:rsidRPr="00047313">
        <w:rPr>
          <w:color w:val="000000" w:themeColor="text1"/>
        </w:rPr>
        <w:t xml:space="preserve">approved </w:t>
      </w:r>
      <w:r>
        <w:rPr>
          <w:color w:val="000000" w:themeColor="text1"/>
        </w:rPr>
        <w:lastRenderedPageBreak/>
        <w:t>pattern</w:t>
      </w:r>
      <w:r w:rsidRPr="00047313">
        <w:rPr>
          <w:color w:val="000000" w:themeColor="text1"/>
        </w:rPr>
        <w:t>.  It is an offence</w:t>
      </w:r>
      <w:r>
        <w:rPr>
          <w:color w:val="000000" w:themeColor="text1"/>
        </w:rPr>
        <w:t xml:space="preserve"> under the</w:t>
      </w:r>
      <w:r w:rsidRPr="00047313">
        <w:rPr>
          <w:color w:val="000000" w:themeColor="text1"/>
        </w:rPr>
        <w:t xml:space="preserve"> </w:t>
      </w:r>
      <w:r w:rsidRPr="00047313">
        <w:rPr>
          <w:i/>
          <w:color w:val="000000" w:themeColor="text1"/>
        </w:rPr>
        <w:t>National Measurement Act 1960</w:t>
      </w:r>
      <w:r w:rsidRPr="00047313">
        <w:rPr>
          <w:color w:val="000000" w:themeColor="text1"/>
        </w:rPr>
        <w:t xml:space="preserve"> (Cth) for an instrument which is not </w:t>
      </w:r>
      <w:r>
        <w:rPr>
          <w:color w:val="000000" w:themeColor="text1"/>
        </w:rPr>
        <w:t>verified</w:t>
      </w:r>
      <w:r w:rsidRPr="00047313">
        <w:rPr>
          <w:color w:val="000000" w:themeColor="text1"/>
        </w:rPr>
        <w:t xml:space="preserve"> to be used for trade purposes. </w:t>
      </w:r>
      <w:r>
        <w:rPr>
          <w:color w:val="000000" w:themeColor="text1"/>
        </w:rPr>
        <w:t>Pattern approval is a prerequisite for verification.</w:t>
      </w:r>
    </w:p>
    <w:p w:rsidR="00193EA0" w:rsidRDefault="00193EA0" w:rsidP="00193EA0">
      <w:pPr>
        <w:rPr>
          <w:color w:val="000000" w:themeColor="text1"/>
        </w:rPr>
      </w:pPr>
      <w:r w:rsidRPr="00047313">
        <w:rPr>
          <w:color w:val="000000" w:themeColor="text1"/>
        </w:rPr>
        <w:t xml:space="preserve">Applicants, such as manufacturers, that develop new types of trade measuring instruments are required to seek </w:t>
      </w:r>
      <w:r>
        <w:rPr>
          <w:color w:val="000000" w:themeColor="text1"/>
        </w:rPr>
        <w:t>p</w:t>
      </w:r>
      <w:r w:rsidRPr="00047313">
        <w:rPr>
          <w:color w:val="000000" w:themeColor="text1"/>
        </w:rPr>
        <w:t xml:space="preserve">attern </w:t>
      </w:r>
      <w:r>
        <w:rPr>
          <w:color w:val="000000" w:themeColor="text1"/>
        </w:rPr>
        <w:t>a</w:t>
      </w:r>
      <w:r w:rsidRPr="00047313">
        <w:rPr>
          <w:color w:val="000000" w:themeColor="text1"/>
        </w:rPr>
        <w:t xml:space="preserve">pproval from NMI.  </w:t>
      </w:r>
      <w:r>
        <w:rPr>
          <w:color w:val="000000" w:themeColor="text1"/>
        </w:rPr>
        <w:t>I</w:t>
      </w:r>
      <w:r w:rsidRPr="00047313">
        <w:rPr>
          <w:color w:val="000000" w:themeColor="text1"/>
        </w:rPr>
        <w:t xml:space="preserve">nstrument types cannot be </w:t>
      </w:r>
      <w:r>
        <w:rPr>
          <w:color w:val="000000" w:themeColor="text1"/>
        </w:rPr>
        <w:t>made available</w:t>
      </w:r>
      <w:r w:rsidRPr="00047313">
        <w:rPr>
          <w:color w:val="000000" w:themeColor="text1"/>
        </w:rPr>
        <w:t xml:space="preserve"> for trade until NMI completes its approval testing and assessment and issues a Certificate of Approval which works as a statement of quality and reliability</w:t>
      </w:r>
      <w:r>
        <w:rPr>
          <w:color w:val="000000" w:themeColor="text1"/>
        </w:rPr>
        <w:t>. The Certificate of Approval informs</w:t>
      </w:r>
      <w:r w:rsidRPr="00047313">
        <w:rPr>
          <w:color w:val="000000" w:themeColor="text1"/>
        </w:rPr>
        <w:t xml:space="preserve"> </w:t>
      </w:r>
      <w:r>
        <w:rPr>
          <w:color w:val="000000" w:themeColor="text1"/>
        </w:rPr>
        <w:t>servicing licensee</w:t>
      </w:r>
      <w:r w:rsidRPr="00047313">
        <w:rPr>
          <w:color w:val="000000" w:themeColor="text1"/>
        </w:rPr>
        <w:t xml:space="preserve">s </w:t>
      </w:r>
      <w:r>
        <w:rPr>
          <w:color w:val="000000" w:themeColor="text1"/>
        </w:rPr>
        <w:t xml:space="preserve">that an instrument is approved for use. </w:t>
      </w:r>
      <w:r w:rsidRPr="00047313">
        <w:rPr>
          <w:color w:val="000000" w:themeColor="text1"/>
        </w:rPr>
        <w:t>The new instrument types must then be manufactured in accordance with the relevant pattern.</w:t>
      </w:r>
    </w:p>
    <w:p w:rsidR="002864C3" w:rsidRPr="002864C3" w:rsidRDefault="002864C3" w:rsidP="002864C3">
      <w:pPr>
        <w:pStyle w:val="Heading2"/>
      </w:pPr>
      <w:bookmarkStart w:id="11" w:name="_Toc419489457"/>
      <w:r>
        <w:t>Step two: Business buys measuring instrument from supplier</w:t>
      </w:r>
      <w:bookmarkEnd w:id="11"/>
    </w:p>
    <w:p w:rsidR="002864C3" w:rsidRDefault="002864C3" w:rsidP="002864C3">
      <w:pPr>
        <w:rPr>
          <w:color w:val="000000" w:themeColor="text1"/>
        </w:rPr>
      </w:pPr>
      <w:r>
        <w:rPr>
          <w:color w:val="000000" w:themeColor="text1"/>
        </w:rPr>
        <w:t xml:space="preserve">Instrument suppliers can only supply instruments that are of an approved pattern for trade purposes. </w:t>
      </w:r>
    </w:p>
    <w:p w:rsidR="002864C3" w:rsidRPr="002864C3" w:rsidRDefault="002864C3" w:rsidP="002864C3">
      <w:pPr>
        <w:pStyle w:val="Heading2"/>
      </w:pPr>
      <w:bookmarkStart w:id="12" w:name="_Toc419489458"/>
      <w:r>
        <w:t>Step three: Business engages servicing licensee</w:t>
      </w:r>
      <w:bookmarkEnd w:id="12"/>
    </w:p>
    <w:p w:rsidR="002864C3" w:rsidRDefault="002864C3" w:rsidP="002864C3">
      <w:pPr>
        <w:rPr>
          <w:color w:val="000000" w:themeColor="text1"/>
        </w:rPr>
      </w:pPr>
      <w:r>
        <w:rPr>
          <w:color w:val="000000" w:themeColor="text1"/>
        </w:rPr>
        <w:t xml:space="preserve">The national measurement legislation requires businesses to use verified trade measuring instruments. As such, businesses engage a servicing licensee to test and verify their measuring instruments. </w:t>
      </w:r>
    </w:p>
    <w:p w:rsidR="002864C3" w:rsidRDefault="002864C3" w:rsidP="002864C3">
      <w:pPr>
        <w:rPr>
          <w:rFonts w:cs="Arial"/>
          <w:sz w:val="20"/>
          <w:szCs w:val="20"/>
        </w:rPr>
      </w:pPr>
      <w:r>
        <w:rPr>
          <w:color w:val="000000" w:themeColor="text1"/>
        </w:rPr>
        <w:t xml:space="preserve">Verification assesses whether an instrument is of an approved pattern (i.e. has a Certificate of Approval) and is operating within the appropriate error limits (known as maximum permissible errors or MPEs). These error limits are specified in the Certificates of Approval (available on the NMI website) and/or in Schedule 1 of the </w:t>
      </w:r>
      <w:r>
        <w:rPr>
          <w:i/>
          <w:color w:val="000000" w:themeColor="text1"/>
        </w:rPr>
        <w:t>National Trade Measurement Regulations 2009</w:t>
      </w:r>
      <w:r>
        <w:rPr>
          <w:color w:val="000000" w:themeColor="text1"/>
        </w:rPr>
        <w:t xml:space="preserve"> (Cth). </w:t>
      </w:r>
    </w:p>
    <w:p w:rsidR="002864C3" w:rsidRDefault="002864C3" w:rsidP="002864C3">
      <w:pPr>
        <w:rPr>
          <w:rFonts w:asciiTheme="minorHAnsi" w:hAnsiTheme="minorHAnsi" w:cstheme="minorBidi"/>
          <w:color w:val="000000" w:themeColor="text1"/>
          <w:sz w:val="22"/>
          <w:szCs w:val="22"/>
        </w:rPr>
      </w:pPr>
      <w:r>
        <w:t>Businesses are also required to ensure that measuring instruments used for trade are verified if the measurement functionality of the instrument may be jeopardised. This can result in trade measuring instruments undergoing verification multiple times over the life of the instrument resulting in a burden on business</w:t>
      </w:r>
      <w:r>
        <w:rPr>
          <w:color w:val="000000" w:themeColor="text1"/>
        </w:rPr>
        <w:t xml:space="preserve"> through the indirect costs incurred while testing is being conducted. Indirect costs can include the need to halt trade or production while the verification is being conducted.</w:t>
      </w:r>
    </w:p>
    <w:p w:rsidR="00062999" w:rsidRDefault="002864C3" w:rsidP="002864C3">
      <w:pPr>
        <w:pStyle w:val="Heading2"/>
      </w:pPr>
      <w:bookmarkStart w:id="13" w:name="_Toc419489459"/>
      <w:r>
        <w:t>Step four: Serv</w:t>
      </w:r>
      <w:r w:rsidR="00B276DB">
        <w:t>i</w:t>
      </w:r>
      <w:r>
        <w:t>cing licensee undertake</w:t>
      </w:r>
      <w:r w:rsidR="0071378B">
        <w:t>s</w:t>
      </w:r>
      <w:r>
        <w:t xml:space="preserve"> verification using NITPs</w:t>
      </w:r>
      <w:bookmarkEnd w:id="13"/>
    </w:p>
    <w:p w:rsidR="002864C3" w:rsidRDefault="002864C3" w:rsidP="002864C3">
      <w:pPr>
        <w:rPr>
          <w:color w:val="000000" w:themeColor="text1"/>
        </w:rPr>
      </w:pPr>
      <w:r>
        <w:rPr>
          <w:color w:val="000000" w:themeColor="text1"/>
        </w:rPr>
        <w:t xml:space="preserve">It is the responsibility of businesses using trade measuring instruments to ensure </w:t>
      </w:r>
      <w:r w:rsidR="0071378B">
        <w:rPr>
          <w:color w:val="000000" w:themeColor="text1"/>
        </w:rPr>
        <w:t xml:space="preserve">their </w:t>
      </w:r>
      <w:r>
        <w:rPr>
          <w:color w:val="000000" w:themeColor="text1"/>
        </w:rPr>
        <w:t xml:space="preserve">measuring instruments are verified prior to initial use and operate to the required accuracy specified in the national measurement legislation. </w:t>
      </w:r>
    </w:p>
    <w:p w:rsidR="002864C3" w:rsidRDefault="002864C3" w:rsidP="002864C3">
      <w:pPr>
        <w:rPr>
          <w:color w:val="000000" w:themeColor="text1"/>
        </w:rPr>
      </w:pPr>
      <w:r>
        <w:rPr>
          <w:color w:val="000000" w:themeColor="text1"/>
        </w:rPr>
        <w:t>To maintain traceability of the trade measuring instrument, there is a requirement for the servicing licensee to use reference standards (for example, reference standards of measurement and Australian Certified Reference Materials) with appropriate certificates when verifying instruments.</w:t>
      </w:r>
    </w:p>
    <w:p w:rsidR="002864C3" w:rsidRDefault="002864C3" w:rsidP="002864C3">
      <w:pPr>
        <w:rPr>
          <w:color w:val="000000" w:themeColor="text1"/>
        </w:rPr>
      </w:pPr>
      <w:r>
        <w:rPr>
          <w:color w:val="000000" w:themeColor="text1"/>
        </w:rPr>
        <w:lastRenderedPageBreak/>
        <w:t xml:space="preserve">The mandatory use of NITPs by servicing licensees when verifying trade measuring instruments places a regulatory burden on industry. Examples of regulatory burden include direct costs (e.g. cost of verification) and indirect costs (e.g. halt trade or production while the verification is being conducted, equipment costs and equipment transportation costs). For instance, complex measuring instruments such as large hoppers currently require the coordination of equipment/material such as test product (e.g. grain) and product handling/transport arrangements (e.g. ships/trucks and conveyor belts). </w:t>
      </w:r>
    </w:p>
    <w:p w:rsidR="002864C3" w:rsidRDefault="002864C3" w:rsidP="002864C3">
      <w:pPr>
        <w:rPr>
          <w:color w:val="000000" w:themeColor="text1"/>
        </w:rPr>
      </w:pPr>
      <w:r>
        <w:rPr>
          <w:color w:val="000000" w:themeColor="text1"/>
        </w:rPr>
        <w:t>In the case of new types of measuring instruments, businesses will face potential delays as there may not be a NITP for the particular type of instrument and/or servicing licensees who could verify such an instrument.</w:t>
      </w:r>
    </w:p>
    <w:p w:rsidR="00B23C43" w:rsidRDefault="002864C3" w:rsidP="002864C3">
      <w:pPr>
        <w:rPr>
          <w:color w:val="000000" w:themeColor="text1"/>
        </w:rPr>
      </w:pPr>
      <w:r>
        <w:rPr>
          <w:color w:val="000000" w:themeColor="text1"/>
        </w:rPr>
        <w:t>As servicing licensees are required to follow the mandated test procedures detailed in the NITP, they have limited opportunity to innovate and develop their own test procedures to test whether measuring instruments meet the specified error limits specified in the Certificates of Approval and/or legislation.</w:t>
      </w:r>
    </w:p>
    <w:p w:rsidR="00B23C43" w:rsidRDefault="00B23C43" w:rsidP="00B23C43"/>
    <w:tbl>
      <w:tblPr>
        <w:tblW w:w="0" w:type="auto"/>
        <w:tblBorders>
          <w:top w:val="single" w:sz="4" w:space="0" w:color="auto"/>
          <w:left w:val="single" w:sz="4" w:space="0" w:color="auto"/>
          <w:bottom w:val="single" w:sz="4" w:space="0" w:color="auto"/>
          <w:right w:val="single" w:sz="4" w:space="0" w:color="auto"/>
          <w:insideH w:val="single" w:sz="4" w:space="0" w:color="005677"/>
          <w:insideV w:val="single" w:sz="4" w:space="0" w:color="005677"/>
        </w:tblBorders>
        <w:tblLook w:val="04A0" w:firstRow="1" w:lastRow="0" w:firstColumn="1" w:lastColumn="0" w:noHBand="0" w:noVBand="1"/>
      </w:tblPr>
      <w:tblGrid>
        <w:gridCol w:w="8516"/>
      </w:tblGrid>
      <w:tr w:rsidR="00B23C43" w:rsidRPr="00212545" w:rsidTr="00D348FE">
        <w:trPr>
          <w:trHeight w:val="321"/>
        </w:trPr>
        <w:tc>
          <w:tcPr>
            <w:tcW w:w="8516" w:type="dxa"/>
            <w:tcBorders>
              <w:top w:val="single" w:sz="4" w:space="0" w:color="005677"/>
              <w:left w:val="single" w:sz="4" w:space="0" w:color="005677"/>
              <w:bottom w:val="single" w:sz="4" w:space="0" w:color="005677"/>
            </w:tcBorders>
            <w:shd w:val="clear" w:color="C0C0C0" w:fill="A8A18A"/>
            <w:vAlign w:val="center"/>
          </w:tcPr>
          <w:p w:rsidR="00B23C43" w:rsidRPr="00212545" w:rsidRDefault="00B23C43" w:rsidP="00D348FE">
            <w:pPr>
              <w:spacing w:after="0" w:line="300" w:lineRule="auto"/>
              <w:rPr>
                <w:rFonts w:eastAsia="Times New Roman"/>
                <w:b/>
                <w:bCs/>
                <w:iCs/>
                <w:color w:val="FFFFFF"/>
                <w:sz w:val="22"/>
                <w:szCs w:val="22"/>
                <w:lang w:val="en-AU"/>
              </w:rPr>
            </w:pPr>
            <w:r>
              <w:rPr>
                <w:rFonts w:eastAsia="Times New Roman"/>
                <w:b/>
                <w:bCs/>
                <w:iCs/>
                <w:color w:val="FFFFFF"/>
                <w:sz w:val="22"/>
                <w:szCs w:val="22"/>
                <w:lang w:val="en-AU"/>
              </w:rPr>
              <w:t>Questions</w:t>
            </w:r>
            <w:r w:rsidR="00DF552A">
              <w:rPr>
                <w:rFonts w:eastAsia="Times New Roman"/>
                <w:b/>
                <w:bCs/>
                <w:iCs/>
                <w:color w:val="FFFFFF"/>
                <w:sz w:val="22"/>
                <w:szCs w:val="22"/>
                <w:lang w:val="en-AU"/>
              </w:rPr>
              <w:t xml:space="preserve"> for businesses and servicing licensees</w:t>
            </w:r>
          </w:p>
        </w:tc>
      </w:tr>
      <w:tr w:rsidR="00B23C43" w:rsidRPr="00212545" w:rsidTr="00B23C43">
        <w:trPr>
          <w:trHeight w:val="1498"/>
        </w:trPr>
        <w:tc>
          <w:tcPr>
            <w:tcW w:w="8516" w:type="dxa"/>
            <w:tcBorders>
              <w:top w:val="single" w:sz="4" w:space="0" w:color="005677"/>
              <w:left w:val="single" w:sz="4" w:space="0" w:color="005677"/>
              <w:bottom w:val="single" w:sz="4" w:space="0" w:color="005677"/>
              <w:right w:val="single" w:sz="4" w:space="0" w:color="005677"/>
            </w:tcBorders>
            <w:shd w:val="clear" w:color="C0C0C0" w:fill="auto"/>
          </w:tcPr>
          <w:p w:rsidR="00B23C43" w:rsidRPr="00B23C43" w:rsidRDefault="00B23C43" w:rsidP="00B23C43">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B23C43">
              <w:rPr>
                <w:rFonts w:eastAsia="Times New Roman"/>
                <w:bCs/>
                <w:i/>
                <w:color w:val="000000"/>
                <w:sz w:val="22"/>
                <w:szCs w:val="22"/>
                <w:lang w:val="en-AU"/>
              </w:rPr>
              <w:t>1) What are the delay costs, if any, associated with verifying a trade measuring instrument in accordance with the NITP?</w:t>
            </w:r>
          </w:p>
          <w:p w:rsidR="00B23C43" w:rsidRPr="00212545" w:rsidRDefault="00B23C43" w:rsidP="00B23C43">
            <w:pPr>
              <w:spacing w:line="300" w:lineRule="auto"/>
              <w:rPr>
                <w:rFonts w:eastAsia="Times New Roman"/>
                <w:b/>
                <w:bCs/>
                <w:color w:val="000000"/>
                <w:sz w:val="22"/>
                <w:szCs w:val="22"/>
                <w:lang w:val="en-AU"/>
              </w:rPr>
            </w:pPr>
            <w:r>
              <w:rPr>
                <w:rFonts w:eastAsia="Times New Roman"/>
                <w:bCs/>
                <w:i/>
                <w:color w:val="000000"/>
                <w:sz w:val="22"/>
                <w:szCs w:val="22"/>
                <w:lang w:val="en-AU"/>
              </w:rPr>
              <w:t>(</w:t>
            </w:r>
            <w:r w:rsidRPr="00B23C43">
              <w:rPr>
                <w:rFonts w:eastAsia="Times New Roman"/>
                <w:bCs/>
                <w:i/>
                <w:color w:val="000000"/>
                <w:sz w:val="22"/>
                <w:szCs w:val="22"/>
                <w:lang w:val="en-AU"/>
              </w:rPr>
              <w:t>2) What are the delay costs, if any, during the wait for NMI to develop and publish relevant NITPs for new instrument types?</w:t>
            </w:r>
          </w:p>
        </w:tc>
      </w:tr>
    </w:tbl>
    <w:p w:rsidR="002864C3" w:rsidRDefault="002864C3" w:rsidP="002864C3"/>
    <w:p w:rsidR="008E7011" w:rsidRDefault="008E7011" w:rsidP="008E7011">
      <w:pPr>
        <w:pStyle w:val="Heading2"/>
      </w:pPr>
      <w:bookmarkStart w:id="14" w:name="_Toc419489460"/>
      <w:r>
        <w:t>Step five: Servicing licensee provides notification to NMI</w:t>
      </w:r>
      <w:bookmarkEnd w:id="14"/>
    </w:p>
    <w:p w:rsidR="008E7011" w:rsidRDefault="008E7011" w:rsidP="008E7011">
      <w:r>
        <w:t xml:space="preserve">The regulations require servicing licensees to complete a form (Form 6) advising NMI of the completion of a verification of trade measuring instrument(s). In addition, servicing licensees verifying complex trade measuring instrument are also required to submit the test report following verification of these instruments. </w:t>
      </w:r>
    </w:p>
    <w:p w:rsidR="0071378B" w:rsidRDefault="008E7011" w:rsidP="008E7011">
      <w:r>
        <w:t xml:space="preserve">This results in servicing licensees incurring costs associated with completing, maintaining and submitting these reports to NMI. </w:t>
      </w:r>
      <w:r w:rsidR="0071378B">
        <w:br w:type="page"/>
      </w:r>
    </w:p>
    <w:tbl>
      <w:tblPr>
        <w:tblW w:w="0" w:type="auto"/>
        <w:tblBorders>
          <w:top w:val="single" w:sz="4" w:space="0" w:color="auto"/>
          <w:left w:val="single" w:sz="4" w:space="0" w:color="auto"/>
          <w:bottom w:val="single" w:sz="4" w:space="0" w:color="auto"/>
          <w:right w:val="single" w:sz="4" w:space="0" w:color="auto"/>
          <w:insideH w:val="single" w:sz="4" w:space="0" w:color="005677"/>
          <w:insideV w:val="single" w:sz="4" w:space="0" w:color="005677"/>
        </w:tblBorders>
        <w:tblLook w:val="04A0" w:firstRow="1" w:lastRow="0" w:firstColumn="1" w:lastColumn="0" w:noHBand="0" w:noVBand="1"/>
      </w:tblPr>
      <w:tblGrid>
        <w:gridCol w:w="8516"/>
      </w:tblGrid>
      <w:tr w:rsidR="008E7011" w:rsidRPr="00212545" w:rsidTr="00D348FE">
        <w:trPr>
          <w:trHeight w:val="321"/>
        </w:trPr>
        <w:tc>
          <w:tcPr>
            <w:tcW w:w="8516" w:type="dxa"/>
            <w:tcBorders>
              <w:top w:val="single" w:sz="4" w:space="0" w:color="005677"/>
              <w:left w:val="single" w:sz="4" w:space="0" w:color="005677"/>
              <w:bottom w:val="single" w:sz="4" w:space="0" w:color="005677"/>
            </w:tcBorders>
            <w:shd w:val="clear" w:color="C0C0C0" w:fill="A8A18A"/>
            <w:vAlign w:val="center"/>
          </w:tcPr>
          <w:p w:rsidR="008E7011" w:rsidRPr="00212545" w:rsidRDefault="008E7011" w:rsidP="00D348FE">
            <w:pPr>
              <w:spacing w:after="0" w:line="300" w:lineRule="auto"/>
              <w:rPr>
                <w:rFonts w:eastAsia="Times New Roman"/>
                <w:b/>
                <w:bCs/>
                <w:iCs/>
                <w:color w:val="FFFFFF"/>
                <w:sz w:val="22"/>
                <w:szCs w:val="22"/>
                <w:lang w:val="en-AU"/>
              </w:rPr>
            </w:pPr>
            <w:r>
              <w:rPr>
                <w:rFonts w:eastAsia="Times New Roman"/>
                <w:b/>
                <w:bCs/>
                <w:iCs/>
                <w:color w:val="FFFFFF"/>
                <w:sz w:val="22"/>
                <w:szCs w:val="22"/>
                <w:lang w:val="en-AU"/>
              </w:rPr>
              <w:lastRenderedPageBreak/>
              <w:t>Questions</w:t>
            </w:r>
            <w:r w:rsidR="00DF552A">
              <w:rPr>
                <w:rFonts w:eastAsia="Times New Roman"/>
                <w:b/>
                <w:bCs/>
                <w:iCs/>
                <w:color w:val="FFFFFF"/>
                <w:sz w:val="22"/>
                <w:szCs w:val="22"/>
                <w:lang w:val="en-AU"/>
              </w:rPr>
              <w:t xml:space="preserve"> for servicing licensees</w:t>
            </w:r>
          </w:p>
        </w:tc>
      </w:tr>
      <w:tr w:rsidR="008E7011" w:rsidRPr="00212545" w:rsidTr="00D348FE">
        <w:trPr>
          <w:trHeight w:val="1498"/>
        </w:trPr>
        <w:tc>
          <w:tcPr>
            <w:tcW w:w="8516" w:type="dxa"/>
            <w:tcBorders>
              <w:top w:val="single" w:sz="4" w:space="0" w:color="005677"/>
              <w:left w:val="single" w:sz="4" w:space="0" w:color="005677"/>
              <w:bottom w:val="single" w:sz="4" w:space="0" w:color="005677"/>
              <w:right w:val="single" w:sz="4" w:space="0" w:color="005677"/>
            </w:tcBorders>
            <w:shd w:val="clear" w:color="C0C0C0" w:fill="auto"/>
          </w:tcPr>
          <w:p w:rsidR="008E7011" w:rsidRPr="008E7011" w:rsidRDefault="008E7011" w:rsidP="008E7011">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8E7011">
              <w:rPr>
                <w:rFonts w:eastAsia="Times New Roman"/>
                <w:bCs/>
                <w:i/>
                <w:color w:val="000000"/>
                <w:sz w:val="22"/>
                <w:szCs w:val="22"/>
                <w:lang w:val="en-AU"/>
              </w:rPr>
              <w:t>3) As a servicing licensee, are there any costs (direct/indirect) that you incur as a result of completing a Form 6? Please include estimates of these costs on an annual basis.</w:t>
            </w:r>
          </w:p>
          <w:p w:rsidR="008E7011" w:rsidRPr="008E7011" w:rsidRDefault="008E7011" w:rsidP="008E7011">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8E7011">
              <w:rPr>
                <w:rFonts w:eastAsia="Times New Roman"/>
                <w:bCs/>
                <w:i/>
                <w:color w:val="000000"/>
                <w:sz w:val="22"/>
                <w:szCs w:val="22"/>
                <w:lang w:val="en-AU"/>
              </w:rPr>
              <w:t>4) As a servicing licensee, are there any costs (direct/indirect) that you incur as a result of submitting test reports to NMI? Please include estimates of these costs on an annual basis.</w:t>
            </w:r>
          </w:p>
          <w:p w:rsidR="008E7011" w:rsidRPr="00212545" w:rsidRDefault="008E7011" w:rsidP="008E7011">
            <w:pPr>
              <w:spacing w:line="300" w:lineRule="auto"/>
              <w:rPr>
                <w:rFonts w:eastAsia="Times New Roman"/>
                <w:b/>
                <w:bCs/>
                <w:color w:val="000000"/>
                <w:sz w:val="22"/>
                <w:szCs w:val="22"/>
                <w:lang w:val="en-AU"/>
              </w:rPr>
            </w:pPr>
            <w:r>
              <w:rPr>
                <w:rFonts w:eastAsia="Times New Roman"/>
                <w:bCs/>
                <w:i/>
                <w:color w:val="000000"/>
                <w:sz w:val="22"/>
                <w:szCs w:val="22"/>
                <w:lang w:val="en-AU"/>
              </w:rPr>
              <w:t>(</w:t>
            </w:r>
            <w:r w:rsidRPr="008E7011">
              <w:rPr>
                <w:rFonts w:eastAsia="Times New Roman"/>
                <w:bCs/>
                <w:i/>
                <w:color w:val="000000"/>
                <w:sz w:val="22"/>
                <w:szCs w:val="22"/>
                <w:lang w:val="en-AU"/>
              </w:rPr>
              <w:t xml:space="preserve">5) As a servicing licensee, what savings do you believe would result from the removal of the requirement to notify NMI? When including estimates of these savings, please specify the type of notification. </w:t>
            </w:r>
          </w:p>
        </w:tc>
      </w:tr>
    </w:tbl>
    <w:p w:rsidR="008E7011" w:rsidRDefault="008E7011" w:rsidP="008E7011"/>
    <w:p w:rsidR="008E7011" w:rsidRDefault="008E7011" w:rsidP="008E7011">
      <w:pPr>
        <w:pStyle w:val="Heading2"/>
      </w:pPr>
      <w:bookmarkStart w:id="15" w:name="_Toc419489461"/>
      <w:r>
        <w:t>Step six: Trade measurement inspectors inspect measuring instruments against NITPs</w:t>
      </w:r>
      <w:bookmarkEnd w:id="15"/>
    </w:p>
    <w:p w:rsidR="008E7011" w:rsidRDefault="008E7011" w:rsidP="008E7011">
      <w:r>
        <w:t xml:space="preserve">Trade measurement inspectors conduct compliance and enforcement activities on trade measuring instruments used by businesses and the work of the servicing licensees as part of the enforcement regime under the </w:t>
      </w:r>
      <w:r>
        <w:rPr>
          <w:i/>
        </w:rPr>
        <w:t>National Measurement Act 1960</w:t>
      </w:r>
      <w:r>
        <w:t xml:space="preserve"> (Cth). These compliance and enforcement activities are undertaken based on a risk framework or in response to a complaint and are usually unannounced. As part of this process, the inspectors follow an internal test procedure to ensure that the trade measuring instruments comply with the appropriate error limits. Currently this internal test procedure is the NITP. Where a trade measuring instrument is non-compliant with the required error limit, enforcement action may be taken. </w:t>
      </w:r>
    </w:p>
    <w:p w:rsidR="008E7011" w:rsidRDefault="008E7011" w:rsidP="008E7011">
      <w:pPr>
        <w:pStyle w:val="Heading1"/>
      </w:pPr>
      <w:bookmarkStart w:id="16" w:name="_Toc419489462"/>
      <w:r>
        <w:t>Alternate Approaches</w:t>
      </w:r>
      <w:bookmarkEnd w:id="16"/>
    </w:p>
    <w:p w:rsidR="008E7011" w:rsidRDefault="008E7011" w:rsidP="008E7011">
      <w:pPr>
        <w:rPr>
          <w:color w:val="000000" w:themeColor="text1"/>
        </w:rPr>
      </w:pPr>
      <w:r>
        <w:rPr>
          <w:color w:val="000000" w:themeColor="text1"/>
        </w:rPr>
        <w:t xml:space="preserve">NMI is interested in understanding </w:t>
      </w:r>
      <w:r w:rsidR="0071378B">
        <w:rPr>
          <w:color w:val="000000" w:themeColor="text1"/>
        </w:rPr>
        <w:t>ways</w:t>
      </w:r>
      <w:r>
        <w:rPr>
          <w:color w:val="000000" w:themeColor="text1"/>
        </w:rPr>
        <w:t xml:space="preserve"> to reduce the regulatory burden on businesses and servicing licensees in relation to the use of NITPs. </w:t>
      </w:r>
    </w:p>
    <w:p w:rsidR="008E7011" w:rsidRDefault="008E7011" w:rsidP="008E7011">
      <w:r>
        <w:rPr>
          <w:color w:val="000000" w:themeColor="text1"/>
        </w:rPr>
        <w:t>An alternative approach is to remove the existing mandatory use of NITPs, thereby allowing trade measuring instruments to be tested in a variety of ways for verification. This could be implemented in a number of ways, including all NITPs</w:t>
      </w:r>
      <w:r>
        <w:rPr>
          <w:lang w:val="en-GB"/>
        </w:rPr>
        <w:t xml:space="preserve"> being made voluntary or just a selection of the NITPs, such as complex measuring instruments only.</w:t>
      </w:r>
      <w:r>
        <w:t>Under this arrangement, businesses using instruments for trade and servicing licensees who verify these instruments would still be required to ensure that an instrument is of an approved pattern (i.e. has a Certificate of Approval) and meets the appropriate error limits as specified in the Certificates of Approval and/or legislation</w:t>
      </w:r>
    </w:p>
    <w:p w:rsidR="008E7011" w:rsidRDefault="008E7011" w:rsidP="008E7011">
      <w:r>
        <w:rPr>
          <w:color w:val="000000" w:themeColor="text1"/>
        </w:rPr>
        <w:t xml:space="preserve">By making some or all </w:t>
      </w:r>
      <w:r>
        <w:rPr>
          <w:lang w:val="en-GB"/>
        </w:rPr>
        <w:t xml:space="preserve">NITPs voluntary, </w:t>
      </w:r>
      <w:r>
        <w:t xml:space="preserve">industry would gain discretion as to how they wish to ensure compliance with appropriate error limits, that is, what tests need to be conducted.  If servicing licensees were to innovate and create an alternative testing procedure that took a shorter time to complete </w:t>
      </w:r>
      <w:r>
        <w:lastRenderedPageBreak/>
        <w:t xml:space="preserve">the verification, the instrument owner/user may benefit from a lower cost of verification, if servicing licensees passed on the cost savings to the business.  However, users of trade measuring instruments may </w:t>
      </w:r>
      <w:r w:rsidR="0071378B">
        <w:t>be</w:t>
      </w:r>
      <w:r>
        <w:t xml:space="preserve"> uncertain whether these test outcomes comply with the intent and objective of the national measurement legislation.</w:t>
      </w:r>
    </w:p>
    <w:p w:rsidR="008E7011" w:rsidRDefault="008E7011" w:rsidP="008E7011">
      <w:r>
        <w:t xml:space="preserve">As part of this process, there could be increased competition amongst servicing licensees in testing these instruments with a competitive price. This in turn would place downward pressure on the cost of verifying measuring instruments. </w:t>
      </w:r>
    </w:p>
    <w:p w:rsidR="008E7011" w:rsidRDefault="008E7011" w:rsidP="008E7011">
      <w:pPr>
        <w:rPr>
          <w:highlight w:val="lightGray"/>
        </w:rPr>
      </w:pPr>
      <w:r>
        <w:t>As this approach would be a change to the existing framework, there would be potential for increased uncertainty in the short term in relation to the method of testing that would ensure compliance with the national measurement legislation.</w:t>
      </w:r>
    </w:p>
    <w:p w:rsidR="008E7011" w:rsidRDefault="008E7011" w:rsidP="008E7011">
      <w:r>
        <w:t xml:space="preserve">Under such an arrangement, NMI’s trade measurement inspectors would continue to conduct random inspections and investigate complaints relating to the accuracy of measuring instruments. As part of this process, the inspectors would follow an internal test procedure developed by NMI. These test procedure would be published on the NMI website to be open and transparent with stakeholders on how the instrument would be tested by inspectors. </w:t>
      </w:r>
    </w:p>
    <w:p w:rsidR="00DF552A" w:rsidRDefault="008E7011" w:rsidP="008E7011">
      <w:r>
        <w:t>Removing the mandatory use of NITPs may reduce potential delay costs to businesses in new and emerging measurement sectors by removing the need to wait for NMI to develop and publish the relevant NITP for new measuring instruments.</w:t>
      </w:r>
      <w:r w:rsidR="00DF552A">
        <w:br w:type="page"/>
      </w:r>
    </w:p>
    <w:p w:rsidR="008E7011" w:rsidRDefault="008E7011" w:rsidP="008E7011"/>
    <w:tbl>
      <w:tblPr>
        <w:tblW w:w="0" w:type="auto"/>
        <w:tblBorders>
          <w:top w:val="single" w:sz="4" w:space="0" w:color="auto"/>
          <w:left w:val="single" w:sz="4" w:space="0" w:color="auto"/>
          <w:bottom w:val="single" w:sz="4" w:space="0" w:color="auto"/>
          <w:right w:val="single" w:sz="4" w:space="0" w:color="auto"/>
          <w:insideH w:val="single" w:sz="4" w:space="0" w:color="005677"/>
          <w:insideV w:val="single" w:sz="4" w:space="0" w:color="005677"/>
        </w:tblBorders>
        <w:tblLook w:val="04A0" w:firstRow="1" w:lastRow="0" w:firstColumn="1" w:lastColumn="0" w:noHBand="0" w:noVBand="1"/>
      </w:tblPr>
      <w:tblGrid>
        <w:gridCol w:w="8516"/>
      </w:tblGrid>
      <w:tr w:rsidR="00DF552A" w:rsidRPr="00212545" w:rsidTr="00D348FE">
        <w:trPr>
          <w:trHeight w:val="321"/>
        </w:trPr>
        <w:tc>
          <w:tcPr>
            <w:tcW w:w="8516" w:type="dxa"/>
            <w:tcBorders>
              <w:top w:val="single" w:sz="4" w:space="0" w:color="005677"/>
              <w:left w:val="single" w:sz="4" w:space="0" w:color="005677"/>
              <w:bottom w:val="single" w:sz="4" w:space="0" w:color="005677"/>
            </w:tcBorders>
            <w:shd w:val="clear" w:color="C0C0C0" w:fill="A8A18A"/>
            <w:vAlign w:val="center"/>
          </w:tcPr>
          <w:p w:rsidR="00DF552A" w:rsidRPr="00212545" w:rsidRDefault="00DF552A" w:rsidP="00D348FE">
            <w:pPr>
              <w:spacing w:after="0" w:line="300" w:lineRule="auto"/>
              <w:rPr>
                <w:rFonts w:eastAsia="Times New Roman"/>
                <w:b/>
                <w:bCs/>
                <w:iCs/>
                <w:color w:val="FFFFFF"/>
                <w:sz w:val="22"/>
                <w:szCs w:val="22"/>
                <w:lang w:val="en-AU"/>
              </w:rPr>
            </w:pPr>
            <w:r>
              <w:rPr>
                <w:rFonts w:eastAsia="Times New Roman"/>
                <w:b/>
                <w:bCs/>
                <w:iCs/>
                <w:color w:val="FFFFFF"/>
                <w:sz w:val="22"/>
                <w:szCs w:val="22"/>
                <w:lang w:val="en-AU"/>
              </w:rPr>
              <w:t>Questions for businesses and servicing licensees</w:t>
            </w:r>
          </w:p>
        </w:tc>
      </w:tr>
      <w:tr w:rsidR="00DF552A" w:rsidRPr="00212545" w:rsidTr="00D348FE">
        <w:trPr>
          <w:trHeight w:val="1498"/>
        </w:trPr>
        <w:tc>
          <w:tcPr>
            <w:tcW w:w="8516" w:type="dxa"/>
            <w:tcBorders>
              <w:top w:val="single" w:sz="4" w:space="0" w:color="005677"/>
              <w:left w:val="single" w:sz="4" w:space="0" w:color="005677"/>
              <w:bottom w:val="single" w:sz="4" w:space="0" w:color="005677"/>
              <w:right w:val="single" w:sz="4" w:space="0" w:color="005677"/>
            </w:tcBorders>
            <w:shd w:val="clear" w:color="C0C0C0" w:fill="auto"/>
          </w:tcPr>
          <w:p w:rsidR="00DF552A" w:rsidRDefault="00DF552A" w:rsidP="00DF552A">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DF552A">
              <w:rPr>
                <w:rFonts w:eastAsia="Times New Roman"/>
                <w:bCs/>
                <w:i/>
                <w:color w:val="000000"/>
                <w:sz w:val="22"/>
                <w:szCs w:val="22"/>
                <w:lang w:val="en-AU"/>
              </w:rPr>
              <w:t xml:space="preserve">6) Do you believe there are any risks in removing the requirement for simple and/or complex measuring devices to be tested by the NITP? If yes, what are they? </w:t>
            </w:r>
          </w:p>
          <w:p w:rsidR="00B67085" w:rsidRPr="00DF552A" w:rsidRDefault="00B67085" w:rsidP="00B67085">
            <w:pPr>
              <w:spacing w:line="300" w:lineRule="auto"/>
              <w:rPr>
                <w:rFonts w:eastAsia="Times New Roman"/>
                <w:bCs/>
                <w:i/>
                <w:color w:val="000000"/>
                <w:sz w:val="22"/>
                <w:szCs w:val="22"/>
                <w:lang w:val="en-AU"/>
              </w:rPr>
            </w:pPr>
            <w:r>
              <w:rPr>
                <w:rFonts w:eastAsia="Times New Roman"/>
                <w:bCs/>
                <w:i/>
                <w:color w:val="000000"/>
                <w:sz w:val="22"/>
                <w:szCs w:val="22"/>
                <w:lang w:val="en-AU"/>
              </w:rPr>
              <w:t>(7</w:t>
            </w:r>
            <w:r w:rsidRPr="00DF552A">
              <w:rPr>
                <w:rFonts w:eastAsia="Times New Roman"/>
                <w:bCs/>
                <w:i/>
                <w:color w:val="000000"/>
                <w:sz w:val="22"/>
                <w:szCs w:val="22"/>
                <w:lang w:val="en-AU"/>
              </w:rPr>
              <w:t xml:space="preserve">) Do you think the removal of mandatory NITPs (and associated test reports) would result in innovation and subsequent cost burden savings? </w:t>
            </w:r>
          </w:p>
          <w:p w:rsidR="00DF552A" w:rsidRPr="00DF552A" w:rsidRDefault="00DF552A" w:rsidP="00DF552A">
            <w:pPr>
              <w:spacing w:line="300" w:lineRule="auto"/>
              <w:rPr>
                <w:rFonts w:eastAsia="Times New Roman"/>
                <w:bCs/>
                <w:i/>
                <w:color w:val="000000"/>
                <w:sz w:val="22"/>
                <w:szCs w:val="22"/>
                <w:lang w:val="en-AU"/>
              </w:rPr>
            </w:pPr>
            <w:r>
              <w:rPr>
                <w:rFonts w:eastAsia="Times New Roman"/>
                <w:bCs/>
                <w:i/>
                <w:color w:val="000000"/>
                <w:sz w:val="22"/>
                <w:szCs w:val="22"/>
                <w:lang w:val="en-AU"/>
              </w:rPr>
              <w:t>(</w:t>
            </w:r>
            <w:r w:rsidR="00B67085">
              <w:rPr>
                <w:rFonts w:eastAsia="Times New Roman"/>
                <w:bCs/>
                <w:i/>
                <w:color w:val="000000"/>
                <w:sz w:val="22"/>
                <w:szCs w:val="22"/>
                <w:lang w:val="en-AU"/>
              </w:rPr>
              <w:t>8</w:t>
            </w:r>
            <w:r w:rsidRPr="00DF552A">
              <w:rPr>
                <w:rFonts w:eastAsia="Times New Roman"/>
                <w:bCs/>
                <w:i/>
                <w:color w:val="000000"/>
                <w:sz w:val="22"/>
                <w:szCs w:val="22"/>
                <w:lang w:val="en-AU"/>
              </w:rPr>
              <w:t>) Are there any concerns to your business that would occur as a result of implementing this possible reform?</w:t>
            </w:r>
          </w:p>
          <w:p w:rsidR="00DF552A" w:rsidRPr="00212545" w:rsidRDefault="00DF552A" w:rsidP="00B67085">
            <w:pPr>
              <w:spacing w:line="300" w:lineRule="auto"/>
              <w:rPr>
                <w:rFonts w:eastAsia="Times New Roman"/>
                <w:b/>
                <w:bCs/>
                <w:color w:val="000000"/>
                <w:sz w:val="22"/>
                <w:szCs w:val="22"/>
                <w:lang w:val="en-AU"/>
              </w:rPr>
            </w:pPr>
            <w:r>
              <w:rPr>
                <w:rFonts w:eastAsia="Times New Roman"/>
                <w:bCs/>
                <w:i/>
                <w:color w:val="000000"/>
                <w:sz w:val="22"/>
                <w:szCs w:val="22"/>
                <w:lang w:val="en-AU"/>
              </w:rPr>
              <w:t>(</w:t>
            </w:r>
            <w:r w:rsidR="00B67085">
              <w:rPr>
                <w:rFonts w:eastAsia="Times New Roman"/>
                <w:bCs/>
                <w:i/>
                <w:color w:val="000000"/>
                <w:sz w:val="22"/>
                <w:szCs w:val="22"/>
                <w:lang w:val="en-AU"/>
              </w:rPr>
              <w:t>9</w:t>
            </w:r>
            <w:r w:rsidRPr="00DF552A">
              <w:rPr>
                <w:rFonts w:eastAsia="Times New Roman"/>
                <w:bCs/>
                <w:i/>
                <w:color w:val="000000"/>
                <w:sz w:val="22"/>
                <w:szCs w:val="22"/>
                <w:lang w:val="en-AU"/>
              </w:rPr>
              <w:t>) For the identified concerns, what are the cost impacts to your business?</w:t>
            </w:r>
          </w:p>
        </w:tc>
      </w:tr>
    </w:tbl>
    <w:p w:rsidR="00DF552A" w:rsidRDefault="00DF552A" w:rsidP="008E7011"/>
    <w:tbl>
      <w:tblPr>
        <w:tblW w:w="0" w:type="auto"/>
        <w:tblBorders>
          <w:top w:val="single" w:sz="4" w:space="0" w:color="auto"/>
          <w:left w:val="single" w:sz="4" w:space="0" w:color="auto"/>
          <w:bottom w:val="single" w:sz="4" w:space="0" w:color="auto"/>
          <w:right w:val="single" w:sz="4" w:space="0" w:color="auto"/>
          <w:insideH w:val="single" w:sz="4" w:space="0" w:color="005677"/>
          <w:insideV w:val="single" w:sz="4" w:space="0" w:color="005677"/>
        </w:tblBorders>
        <w:tblLook w:val="04A0" w:firstRow="1" w:lastRow="0" w:firstColumn="1" w:lastColumn="0" w:noHBand="0" w:noVBand="1"/>
      </w:tblPr>
      <w:tblGrid>
        <w:gridCol w:w="8516"/>
      </w:tblGrid>
      <w:tr w:rsidR="00DF552A" w:rsidRPr="00212545" w:rsidTr="00D348FE">
        <w:trPr>
          <w:trHeight w:val="321"/>
        </w:trPr>
        <w:tc>
          <w:tcPr>
            <w:tcW w:w="8516" w:type="dxa"/>
            <w:tcBorders>
              <w:top w:val="single" w:sz="4" w:space="0" w:color="005677"/>
              <w:left w:val="single" w:sz="4" w:space="0" w:color="005677"/>
              <w:bottom w:val="single" w:sz="4" w:space="0" w:color="005677"/>
            </w:tcBorders>
            <w:shd w:val="clear" w:color="C0C0C0" w:fill="A8A18A"/>
            <w:vAlign w:val="center"/>
          </w:tcPr>
          <w:p w:rsidR="00DF552A" w:rsidRPr="00212545" w:rsidRDefault="00DF552A" w:rsidP="00AB36B8">
            <w:pPr>
              <w:spacing w:after="0" w:line="300" w:lineRule="auto"/>
              <w:rPr>
                <w:rFonts w:eastAsia="Times New Roman"/>
                <w:b/>
                <w:bCs/>
                <w:iCs/>
                <w:color w:val="FFFFFF"/>
                <w:sz w:val="22"/>
                <w:szCs w:val="22"/>
                <w:lang w:val="en-AU"/>
              </w:rPr>
            </w:pPr>
            <w:r>
              <w:rPr>
                <w:rFonts w:eastAsia="Times New Roman"/>
                <w:b/>
                <w:bCs/>
                <w:iCs/>
                <w:color w:val="FFFFFF"/>
                <w:sz w:val="22"/>
                <w:szCs w:val="22"/>
                <w:lang w:val="en-AU"/>
              </w:rPr>
              <w:t>Q</w:t>
            </w:r>
            <w:r w:rsidR="00AB36B8">
              <w:rPr>
                <w:rFonts w:eastAsia="Times New Roman"/>
                <w:b/>
                <w:bCs/>
                <w:iCs/>
                <w:color w:val="FFFFFF"/>
                <w:sz w:val="22"/>
                <w:szCs w:val="22"/>
                <w:lang w:val="en-AU"/>
              </w:rPr>
              <w:t>u</w:t>
            </w:r>
            <w:r>
              <w:rPr>
                <w:rFonts w:eastAsia="Times New Roman"/>
                <w:b/>
                <w:bCs/>
                <w:iCs/>
                <w:color w:val="FFFFFF"/>
                <w:sz w:val="22"/>
                <w:szCs w:val="22"/>
                <w:lang w:val="en-AU"/>
              </w:rPr>
              <w:t>estions for businesses that use trade measuring instruments</w:t>
            </w:r>
          </w:p>
        </w:tc>
      </w:tr>
      <w:tr w:rsidR="00DF552A" w:rsidRPr="00212545" w:rsidTr="00D348FE">
        <w:trPr>
          <w:trHeight w:val="1498"/>
        </w:trPr>
        <w:tc>
          <w:tcPr>
            <w:tcW w:w="8516" w:type="dxa"/>
            <w:tcBorders>
              <w:top w:val="single" w:sz="4" w:space="0" w:color="005677"/>
              <w:left w:val="single" w:sz="4" w:space="0" w:color="005677"/>
              <w:bottom w:val="single" w:sz="4" w:space="0" w:color="005677"/>
              <w:right w:val="single" w:sz="4" w:space="0" w:color="005677"/>
            </w:tcBorders>
            <w:shd w:val="clear" w:color="C0C0C0" w:fill="auto"/>
          </w:tcPr>
          <w:p w:rsidR="00AB36B8" w:rsidRDefault="00DF552A" w:rsidP="00D348FE">
            <w:pPr>
              <w:spacing w:line="300" w:lineRule="auto"/>
              <w:rPr>
                <w:rFonts w:eastAsia="Times New Roman"/>
                <w:bCs/>
                <w:i/>
                <w:color w:val="000000"/>
                <w:sz w:val="22"/>
                <w:szCs w:val="22"/>
                <w:lang w:val="en-AU"/>
              </w:rPr>
            </w:pPr>
            <w:r>
              <w:rPr>
                <w:rFonts w:eastAsia="Times New Roman"/>
                <w:bCs/>
                <w:i/>
                <w:color w:val="000000"/>
                <w:sz w:val="22"/>
                <w:szCs w:val="22"/>
                <w:lang w:val="en-AU"/>
              </w:rPr>
              <w:t>(</w:t>
            </w:r>
            <w:r w:rsidR="00AB36B8">
              <w:rPr>
                <w:rFonts w:eastAsia="Times New Roman"/>
                <w:bCs/>
                <w:i/>
                <w:color w:val="000000"/>
                <w:sz w:val="22"/>
                <w:szCs w:val="22"/>
                <w:lang w:val="en-AU"/>
              </w:rPr>
              <w:t>10</w:t>
            </w:r>
            <w:r w:rsidRPr="00DF552A">
              <w:rPr>
                <w:rFonts w:eastAsia="Times New Roman"/>
                <w:bCs/>
                <w:i/>
                <w:color w:val="000000"/>
                <w:sz w:val="22"/>
                <w:szCs w:val="22"/>
                <w:lang w:val="en-AU"/>
              </w:rPr>
              <w:t>) As a user of trade measuring instruments, would you engage a servicing licensee who uses an alternate test procedure?</w:t>
            </w:r>
            <w:r w:rsidR="00AB36B8">
              <w:rPr>
                <w:rFonts w:eastAsia="Times New Roman"/>
                <w:bCs/>
                <w:i/>
                <w:color w:val="000000"/>
                <w:sz w:val="22"/>
                <w:szCs w:val="22"/>
                <w:lang w:val="en-AU"/>
              </w:rPr>
              <w:t xml:space="preserve"> </w:t>
            </w:r>
          </w:p>
          <w:p w:rsidR="00DF552A" w:rsidRPr="00AB36B8" w:rsidRDefault="00DF552A" w:rsidP="00D348FE">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DF552A">
              <w:rPr>
                <w:rFonts w:eastAsia="Times New Roman"/>
                <w:bCs/>
                <w:i/>
                <w:color w:val="000000"/>
                <w:sz w:val="22"/>
                <w:szCs w:val="22"/>
                <w:lang w:val="en-AU"/>
              </w:rPr>
              <w:t>11) As a user of trade measuring instruments, would the publication of the test procedures used by trade measurement inspectors act as a disincentive to engage a servicing licensee who uses an alternate test procedure?</w:t>
            </w:r>
          </w:p>
        </w:tc>
      </w:tr>
    </w:tbl>
    <w:p w:rsidR="00DF552A" w:rsidRDefault="00DF552A" w:rsidP="008E7011"/>
    <w:tbl>
      <w:tblPr>
        <w:tblW w:w="0" w:type="auto"/>
        <w:tblBorders>
          <w:top w:val="single" w:sz="4" w:space="0" w:color="auto"/>
          <w:left w:val="single" w:sz="4" w:space="0" w:color="auto"/>
          <w:bottom w:val="single" w:sz="4" w:space="0" w:color="auto"/>
          <w:right w:val="single" w:sz="4" w:space="0" w:color="auto"/>
          <w:insideH w:val="single" w:sz="4" w:space="0" w:color="005677"/>
          <w:insideV w:val="single" w:sz="4" w:space="0" w:color="005677"/>
        </w:tblBorders>
        <w:tblLook w:val="04A0" w:firstRow="1" w:lastRow="0" w:firstColumn="1" w:lastColumn="0" w:noHBand="0" w:noVBand="1"/>
      </w:tblPr>
      <w:tblGrid>
        <w:gridCol w:w="8516"/>
      </w:tblGrid>
      <w:tr w:rsidR="00AB36B8" w:rsidRPr="00212545" w:rsidTr="00D348FE">
        <w:trPr>
          <w:trHeight w:val="321"/>
        </w:trPr>
        <w:tc>
          <w:tcPr>
            <w:tcW w:w="8516" w:type="dxa"/>
            <w:tcBorders>
              <w:top w:val="single" w:sz="4" w:space="0" w:color="005677"/>
              <w:left w:val="single" w:sz="4" w:space="0" w:color="005677"/>
              <w:bottom w:val="single" w:sz="4" w:space="0" w:color="005677"/>
            </w:tcBorders>
            <w:shd w:val="clear" w:color="C0C0C0" w:fill="A8A18A"/>
            <w:vAlign w:val="center"/>
          </w:tcPr>
          <w:p w:rsidR="00AB36B8" w:rsidRPr="00212545" w:rsidRDefault="00AB36B8" w:rsidP="00AB36B8">
            <w:pPr>
              <w:spacing w:after="0" w:line="300" w:lineRule="auto"/>
              <w:rPr>
                <w:rFonts w:eastAsia="Times New Roman"/>
                <w:b/>
                <w:bCs/>
                <w:iCs/>
                <w:color w:val="FFFFFF"/>
                <w:sz w:val="22"/>
                <w:szCs w:val="22"/>
                <w:lang w:val="en-AU"/>
              </w:rPr>
            </w:pPr>
            <w:r>
              <w:rPr>
                <w:rFonts w:eastAsia="Times New Roman"/>
                <w:b/>
                <w:bCs/>
                <w:iCs/>
                <w:color w:val="FFFFFF"/>
                <w:sz w:val="22"/>
                <w:szCs w:val="22"/>
                <w:lang w:val="en-AU"/>
              </w:rPr>
              <w:t>Questions for servicing licensees</w:t>
            </w:r>
          </w:p>
        </w:tc>
      </w:tr>
      <w:tr w:rsidR="00AB36B8" w:rsidRPr="00212545" w:rsidTr="00D348FE">
        <w:trPr>
          <w:trHeight w:val="1498"/>
        </w:trPr>
        <w:tc>
          <w:tcPr>
            <w:tcW w:w="8516" w:type="dxa"/>
            <w:tcBorders>
              <w:top w:val="single" w:sz="4" w:space="0" w:color="005677"/>
              <w:left w:val="single" w:sz="4" w:space="0" w:color="005677"/>
              <w:bottom w:val="single" w:sz="4" w:space="0" w:color="005677"/>
              <w:right w:val="single" w:sz="4" w:space="0" w:color="005677"/>
            </w:tcBorders>
            <w:shd w:val="clear" w:color="C0C0C0" w:fill="auto"/>
          </w:tcPr>
          <w:p w:rsidR="00AB36B8" w:rsidRPr="00DF552A" w:rsidRDefault="00AB36B8" w:rsidP="00D348FE">
            <w:pPr>
              <w:spacing w:line="300" w:lineRule="auto"/>
              <w:rPr>
                <w:rFonts w:eastAsia="Times New Roman"/>
                <w:bCs/>
                <w:i/>
                <w:color w:val="000000"/>
                <w:sz w:val="22"/>
                <w:szCs w:val="22"/>
                <w:lang w:val="en-AU"/>
              </w:rPr>
            </w:pPr>
            <w:r>
              <w:rPr>
                <w:rFonts w:eastAsia="Times New Roman"/>
                <w:bCs/>
                <w:i/>
                <w:color w:val="000000"/>
                <w:sz w:val="22"/>
                <w:szCs w:val="22"/>
                <w:lang w:val="en-AU"/>
              </w:rPr>
              <w:t>(12</w:t>
            </w:r>
            <w:r w:rsidRPr="00DF552A">
              <w:rPr>
                <w:rFonts w:eastAsia="Times New Roman"/>
                <w:bCs/>
                <w:i/>
                <w:color w:val="000000"/>
                <w:sz w:val="22"/>
                <w:szCs w:val="22"/>
                <w:lang w:val="en-AU"/>
              </w:rPr>
              <w:t>) As a servicing licensee, would the transition of NITPs from a mandatory to a voluntary basis provide the incentive to innovate and develop your own test procedures to assess the accuracy of trade measuring instruments?</w:t>
            </w:r>
          </w:p>
          <w:p w:rsidR="00AB36B8" w:rsidRPr="00DF552A" w:rsidRDefault="00AB36B8" w:rsidP="00D348FE">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DF552A">
              <w:rPr>
                <w:rFonts w:eastAsia="Times New Roman"/>
                <w:bCs/>
                <w:i/>
                <w:color w:val="000000"/>
                <w:sz w:val="22"/>
                <w:szCs w:val="22"/>
                <w:lang w:val="en-AU"/>
              </w:rPr>
              <w:t>1</w:t>
            </w:r>
            <w:r w:rsidR="009C764B">
              <w:rPr>
                <w:rFonts w:eastAsia="Times New Roman"/>
                <w:bCs/>
                <w:i/>
                <w:color w:val="000000"/>
                <w:sz w:val="22"/>
                <w:szCs w:val="22"/>
                <w:lang w:val="en-AU"/>
              </w:rPr>
              <w:t>3</w:t>
            </w:r>
            <w:r w:rsidRPr="00DF552A">
              <w:rPr>
                <w:rFonts w:eastAsia="Times New Roman"/>
                <w:bCs/>
                <w:i/>
                <w:color w:val="000000"/>
                <w:sz w:val="22"/>
                <w:szCs w:val="22"/>
                <w:lang w:val="en-AU"/>
              </w:rPr>
              <w:t>) As a servicing licensee, would the publication of the test procedures used by trade measurement inspectors act as a disincentive to developing alternative test procedures?</w:t>
            </w:r>
          </w:p>
          <w:p w:rsidR="00AB36B8" w:rsidRPr="00DF552A" w:rsidRDefault="00AB36B8" w:rsidP="00D348FE">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DF552A">
              <w:rPr>
                <w:rFonts w:eastAsia="Times New Roman"/>
                <w:bCs/>
                <w:i/>
                <w:color w:val="000000"/>
                <w:sz w:val="22"/>
                <w:szCs w:val="22"/>
                <w:lang w:val="en-AU"/>
              </w:rPr>
              <w:t>1</w:t>
            </w:r>
            <w:r w:rsidR="009C764B">
              <w:rPr>
                <w:rFonts w:eastAsia="Times New Roman"/>
                <w:bCs/>
                <w:i/>
                <w:color w:val="000000"/>
                <w:sz w:val="22"/>
                <w:szCs w:val="22"/>
                <w:lang w:val="en-AU"/>
              </w:rPr>
              <w:t>4</w:t>
            </w:r>
            <w:r w:rsidRPr="00DF552A">
              <w:rPr>
                <w:rFonts w:eastAsia="Times New Roman"/>
                <w:bCs/>
                <w:i/>
                <w:color w:val="000000"/>
                <w:sz w:val="22"/>
                <w:szCs w:val="22"/>
                <w:lang w:val="en-AU"/>
              </w:rPr>
              <w:t xml:space="preserve">) As a servicing licensee, would there be concerns to your business that are not currently identified as a result of the alternative approach (i.e. transition of NITPs from a mandatory to a voluntary basis)? </w:t>
            </w:r>
          </w:p>
          <w:p w:rsidR="00AB36B8" w:rsidRPr="00DF552A" w:rsidRDefault="00AB36B8" w:rsidP="00D348FE">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DF552A">
              <w:rPr>
                <w:rFonts w:eastAsia="Times New Roman"/>
                <w:bCs/>
                <w:i/>
                <w:color w:val="000000"/>
                <w:sz w:val="22"/>
                <w:szCs w:val="22"/>
                <w:lang w:val="en-AU"/>
              </w:rPr>
              <w:t>1</w:t>
            </w:r>
            <w:r w:rsidR="009C764B">
              <w:rPr>
                <w:rFonts w:eastAsia="Times New Roman"/>
                <w:bCs/>
                <w:i/>
                <w:color w:val="000000"/>
                <w:sz w:val="22"/>
                <w:szCs w:val="22"/>
                <w:lang w:val="en-AU"/>
              </w:rPr>
              <w:t>5</w:t>
            </w:r>
            <w:r w:rsidRPr="00DF552A">
              <w:rPr>
                <w:rFonts w:eastAsia="Times New Roman"/>
                <w:bCs/>
                <w:i/>
                <w:color w:val="000000"/>
                <w:sz w:val="22"/>
                <w:szCs w:val="22"/>
                <w:lang w:val="en-AU"/>
              </w:rPr>
              <w:t>) For the identified concerns, what are the cost impacts to your business?</w:t>
            </w:r>
          </w:p>
          <w:p w:rsidR="00AB36B8" w:rsidRPr="00AB36B8" w:rsidRDefault="00AB36B8" w:rsidP="0071378B">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DF552A">
              <w:rPr>
                <w:rFonts w:eastAsia="Times New Roman"/>
                <w:bCs/>
                <w:i/>
                <w:color w:val="000000"/>
                <w:sz w:val="22"/>
                <w:szCs w:val="22"/>
                <w:lang w:val="en-AU"/>
              </w:rPr>
              <w:t>1</w:t>
            </w:r>
            <w:r w:rsidR="009C764B">
              <w:rPr>
                <w:rFonts w:eastAsia="Times New Roman"/>
                <w:bCs/>
                <w:i/>
                <w:color w:val="000000"/>
                <w:sz w:val="22"/>
                <w:szCs w:val="22"/>
                <w:lang w:val="en-AU"/>
              </w:rPr>
              <w:t>6</w:t>
            </w:r>
            <w:r w:rsidRPr="00DF552A">
              <w:rPr>
                <w:rFonts w:eastAsia="Times New Roman"/>
                <w:bCs/>
                <w:i/>
                <w:color w:val="000000"/>
                <w:sz w:val="22"/>
                <w:szCs w:val="22"/>
                <w:lang w:val="en-AU"/>
              </w:rPr>
              <w:t>) As a servicing licensee, would the transition of NITPs from a mandatory to a voluntary basis result in a cost increase or cost reduction to your business? If so, what would be the approximate cost/saving?</w:t>
            </w:r>
          </w:p>
        </w:tc>
      </w:tr>
    </w:tbl>
    <w:p w:rsidR="00AB36B8" w:rsidRDefault="00DA34EE" w:rsidP="00DA34EE">
      <w:pPr>
        <w:pStyle w:val="Heading1"/>
      </w:pPr>
      <w:bookmarkStart w:id="17" w:name="_Toc419489463"/>
      <w:r>
        <w:t>Additional questions</w:t>
      </w:r>
      <w:bookmarkEnd w:id="17"/>
    </w:p>
    <w:p w:rsidR="00DA34EE" w:rsidRDefault="00DA34EE" w:rsidP="00DA34EE">
      <w:pPr>
        <w:rPr>
          <w:b/>
        </w:rPr>
      </w:pPr>
      <w:r>
        <w:t xml:space="preserve">NMI is seeking your input on the current cost of complying with the regulations that require servicing licensees to use NITPs to verify a trade measurement instrument. </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005677"/>
          <w:insideV w:val="single" w:sz="4" w:space="0" w:color="005677"/>
        </w:tblBorders>
        <w:tblLook w:val="04A0" w:firstRow="1" w:lastRow="0" w:firstColumn="1" w:lastColumn="0" w:noHBand="0" w:noVBand="1"/>
      </w:tblPr>
      <w:tblGrid>
        <w:gridCol w:w="8516"/>
      </w:tblGrid>
      <w:tr w:rsidR="00AE7EA0" w:rsidRPr="00212545" w:rsidTr="00D348FE">
        <w:trPr>
          <w:trHeight w:val="321"/>
        </w:trPr>
        <w:tc>
          <w:tcPr>
            <w:tcW w:w="8516" w:type="dxa"/>
            <w:tcBorders>
              <w:top w:val="single" w:sz="4" w:space="0" w:color="005677"/>
              <w:left w:val="single" w:sz="4" w:space="0" w:color="005677"/>
              <w:bottom w:val="single" w:sz="4" w:space="0" w:color="005677"/>
            </w:tcBorders>
            <w:shd w:val="clear" w:color="C0C0C0" w:fill="A8A18A"/>
            <w:vAlign w:val="center"/>
          </w:tcPr>
          <w:p w:rsidR="00AE7EA0" w:rsidRPr="00212545" w:rsidRDefault="00AE7EA0" w:rsidP="00AE7EA0">
            <w:pPr>
              <w:spacing w:after="0" w:line="300" w:lineRule="auto"/>
              <w:rPr>
                <w:rFonts w:eastAsia="Times New Roman"/>
                <w:b/>
                <w:bCs/>
                <w:iCs/>
                <w:color w:val="FFFFFF"/>
                <w:sz w:val="22"/>
                <w:szCs w:val="22"/>
                <w:lang w:val="en-AU"/>
              </w:rPr>
            </w:pPr>
            <w:r>
              <w:rPr>
                <w:rFonts w:eastAsia="Times New Roman"/>
                <w:b/>
                <w:bCs/>
                <w:iCs/>
                <w:color w:val="FFFFFF"/>
                <w:sz w:val="22"/>
                <w:szCs w:val="22"/>
                <w:lang w:val="en-AU"/>
              </w:rPr>
              <w:lastRenderedPageBreak/>
              <w:t xml:space="preserve">Questions for businesses that </w:t>
            </w:r>
            <w:r w:rsidR="004D2274">
              <w:rPr>
                <w:rFonts w:eastAsia="Times New Roman"/>
                <w:b/>
                <w:bCs/>
                <w:iCs/>
                <w:color w:val="FFFFFF"/>
                <w:sz w:val="22"/>
                <w:szCs w:val="22"/>
                <w:lang w:val="en-AU"/>
              </w:rPr>
              <w:t>use</w:t>
            </w:r>
            <w:r>
              <w:rPr>
                <w:rFonts w:eastAsia="Times New Roman"/>
                <w:b/>
                <w:bCs/>
                <w:iCs/>
                <w:color w:val="FFFFFF"/>
                <w:sz w:val="22"/>
                <w:szCs w:val="22"/>
                <w:lang w:val="en-AU"/>
              </w:rPr>
              <w:t xml:space="preserve"> trade measuring instruments</w:t>
            </w:r>
          </w:p>
        </w:tc>
      </w:tr>
      <w:tr w:rsidR="00AE7EA0" w:rsidRPr="00212545" w:rsidTr="00D348FE">
        <w:trPr>
          <w:trHeight w:val="1498"/>
        </w:trPr>
        <w:tc>
          <w:tcPr>
            <w:tcW w:w="8516" w:type="dxa"/>
            <w:tcBorders>
              <w:top w:val="single" w:sz="4" w:space="0" w:color="005677"/>
              <w:left w:val="single" w:sz="4" w:space="0" w:color="005677"/>
              <w:bottom w:val="single" w:sz="4" w:space="0" w:color="005677"/>
              <w:right w:val="single" w:sz="4" w:space="0" w:color="005677"/>
            </w:tcBorders>
            <w:shd w:val="clear" w:color="C0C0C0" w:fill="auto"/>
          </w:tcPr>
          <w:p w:rsidR="00AE7EA0" w:rsidRPr="00AE7EA0" w:rsidRDefault="00AE7EA0" w:rsidP="00AE7EA0">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AE7EA0">
              <w:rPr>
                <w:rFonts w:eastAsia="Times New Roman"/>
                <w:bCs/>
                <w:i/>
                <w:color w:val="000000"/>
                <w:sz w:val="22"/>
                <w:szCs w:val="22"/>
                <w:lang w:val="en-AU"/>
              </w:rPr>
              <w:t>17) As a business, what is the direct cost of verification (i.e. how much is invoiced)?</w:t>
            </w:r>
          </w:p>
          <w:p w:rsidR="00AE7EA0" w:rsidRPr="00AB36B8" w:rsidRDefault="004D2274" w:rsidP="00AE7EA0">
            <w:pPr>
              <w:spacing w:line="300" w:lineRule="auto"/>
              <w:rPr>
                <w:rFonts w:eastAsia="Times New Roman"/>
                <w:bCs/>
                <w:i/>
                <w:color w:val="000000"/>
                <w:sz w:val="22"/>
                <w:szCs w:val="22"/>
                <w:lang w:val="en-AU"/>
              </w:rPr>
            </w:pPr>
            <w:r>
              <w:rPr>
                <w:rFonts w:eastAsia="Times New Roman"/>
                <w:bCs/>
                <w:i/>
                <w:color w:val="000000"/>
                <w:sz w:val="22"/>
                <w:szCs w:val="22"/>
                <w:lang w:val="en-AU"/>
              </w:rPr>
              <w:t>(</w:t>
            </w:r>
            <w:r w:rsidR="00AE7EA0" w:rsidRPr="00AE7EA0">
              <w:rPr>
                <w:rFonts w:eastAsia="Times New Roman"/>
                <w:bCs/>
                <w:i/>
                <w:color w:val="000000"/>
                <w:sz w:val="22"/>
                <w:szCs w:val="22"/>
                <w:lang w:val="en-AU"/>
              </w:rPr>
              <w:t>18) As users of trade measuring instruments, what indirect costs (e.g. shutdown time, providing resources/infrastructure, delay costs etc.) do you incur as a result of a servicing licensee following the test procedure detailed in the NITP? Please include estimates of these costs.</w:t>
            </w:r>
          </w:p>
        </w:tc>
      </w:tr>
    </w:tbl>
    <w:p w:rsidR="00AE7EA0" w:rsidRDefault="00AE7EA0" w:rsidP="00DA34EE">
      <w:pPr>
        <w:rPr>
          <w:b/>
        </w:rPr>
      </w:pPr>
    </w:p>
    <w:tbl>
      <w:tblPr>
        <w:tblW w:w="0" w:type="auto"/>
        <w:tblBorders>
          <w:top w:val="single" w:sz="4" w:space="0" w:color="auto"/>
          <w:left w:val="single" w:sz="4" w:space="0" w:color="auto"/>
          <w:bottom w:val="single" w:sz="4" w:space="0" w:color="auto"/>
          <w:right w:val="single" w:sz="4" w:space="0" w:color="auto"/>
          <w:insideH w:val="single" w:sz="4" w:space="0" w:color="005677"/>
          <w:insideV w:val="single" w:sz="4" w:space="0" w:color="005677"/>
        </w:tblBorders>
        <w:tblLook w:val="04A0" w:firstRow="1" w:lastRow="0" w:firstColumn="1" w:lastColumn="0" w:noHBand="0" w:noVBand="1"/>
      </w:tblPr>
      <w:tblGrid>
        <w:gridCol w:w="8516"/>
      </w:tblGrid>
      <w:tr w:rsidR="004D2274" w:rsidRPr="00212545" w:rsidTr="00D348FE">
        <w:trPr>
          <w:trHeight w:val="321"/>
        </w:trPr>
        <w:tc>
          <w:tcPr>
            <w:tcW w:w="8516" w:type="dxa"/>
            <w:tcBorders>
              <w:top w:val="single" w:sz="4" w:space="0" w:color="005677"/>
              <w:left w:val="single" w:sz="4" w:space="0" w:color="005677"/>
              <w:bottom w:val="single" w:sz="4" w:space="0" w:color="005677"/>
            </w:tcBorders>
            <w:shd w:val="clear" w:color="C0C0C0" w:fill="A8A18A"/>
            <w:vAlign w:val="center"/>
          </w:tcPr>
          <w:p w:rsidR="004D2274" w:rsidRPr="00212545" w:rsidRDefault="004D2274" w:rsidP="004D2274">
            <w:pPr>
              <w:spacing w:after="0" w:line="300" w:lineRule="auto"/>
              <w:rPr>
                <w:rFonts w:eastAsia="Times New Roman"/>
                <w:b/>
                <w:bCs/>
                <w:iCs/>
                <w:color w:val="FFFFFF"/>
                <w:sz w:val="22"/>
                <w:szCs w:val="22"/>
                <w:lang w:val="en-AU"/>
              </w:rPr>
            </w:pPr>
            <w:r>
              <w:rPr>
                <w:rFonts w:eastAsia="Times New Roman"/>
                <w:b/>
                <w:bCs/>
                <w:iCs/>
                <w:color w:val="FFFFFF"/>
                <w:sz w:val="22"/>
                <w:szCs w:val="22"/>
                <w:lang w:val="en-AU"/>
              </w:rPr>
              <w:t>Questions for servicing licensees</w:t>
            </w:r>
          </w:p>
        </w:tc>
      </w:tr>
      <w:tr w:rsidR="004D2274" w:rsidRPr="00212545" w:rsidTr="00D348FE">
        <w:trPr>
          <w:trHeight w:val="1498"/>
        </w:trPr>
        <w:tc>
          <w:tcPr>
            <w:tcW w:w="8516" w:type="dxa"/>
            <w:tcBorders>
              <w:top w:val="single" w:sz="4" w:space="0" w:color="005677"/>
              <w:left w:val="single" w:sz="4" w:space="0" w:color="005677"/>
              <w:bottom w:val="single" w:sz="4" w:space="0" w:color="005677"/>
              <w:right w:val="single" w:sz="4" w:space="0" w:color="005677"/>
            </w:tcBorders>
            <w:shd w:val="clear" w:color="C0C0C0" w:fill="auto"/>
          </w:tcPr>
          <w:p w:rsidR="004D2274" w:rsidRPr="00AE7EA0" w:rsidRDefault="004D2274" w:rsidP="00D348FE">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AE7EA0">
              <w:rPr>
                <w:rFonts w:eastAsia="Times New Roman"/>
                <w:bCs/>
                <w:i/>
                <w:color w:val="000000"/>
                <w:sz w:val="22"/>
                <w:szCs w:val="22"/>
                <w:lang w:val="en-AU"/>
              </w:rPr>
              <w:t>1</w:t>
            </w:r>
            <w:r>
              <w:rPr>
                <w:rFonts w:eastAsia="Times New Roman"/>
                <w:bCs/>
                <w:i/>
                <w:color w:val="000000"/>
                <w:sz w:val="22"/>
                <w:szCs w:val="22"/>
                <w:lang w:val="en-AU"/>
              </w:rPr>
              <w:t>9</w:t>
            </w:r>
            <w:r w:rsidRPr="00AE7EA0">
              <w:rPr>
                <w:rFonts w:eastAsia="Times New Roman"/>
                <w:bCs/>
                <w:i/>
                <w:color w:val="000000"/>
                <w:sz w:val="22"/>
                <w:szCs w:val="22"/>
                <w:lang w:val="en-AU"/>
              </w:rPr>
              <w:t>) As a servicing licensee what do you invoice on average for the different classes of measuring instrument that you verify?</w:t>
            </w:r>
          </w:p>
          <w:p w:rsidR="004D2274" w:rsidRPr="00AE7EA0" w:rsidRDefault="004D2274" w:rsidP="00D348FE">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AE7EA0">
              <w:rPr>
                <w:rFonts w:eastAsia="Times New Roman"/>
                <w:bCs/>
                <w:i/>
                <w:color w:val="000000"/>
                <w:sz w:val="22"/>
                <w:szCs w:val="22"/>
                <w:lang w:val="en-AU"/>
              </w:rPr>
              <w:t>20) What proportion of the invoiced amount is the result of following the test procedure specified in the NITP? (As opposed to other overheads associated with verification)</w:t>
            </w:r>
          </w:p>
          <w:p w:rsidR="004D2274" w:rsidRPr="00AE7EA0" w:rsidRDefault="004D2274" w:rsidP="00D348FE">
            <w:pPr>
              <w:spacing w:line="300" w:lineRule="auto"/>
              <w:rPr>
                <w:rFonts w:eastAsia="Times New Roman"/>
                <w:bCs/>
                <w:i/>
                <w:color w:val="000000"/>
                <w:sz w:val="22"/>
                <w:szCs w:val="22"/>
                <w:lang w:val="en-AU"/>
              </w:rPr>
            </w:pPr>
            <w:r>
              <w:rPr>
                <w:rFonts w:eastAsia="Times New Roman"/>
                <w:bCs/>
                <w:i/>
                <w:color w:val="000000"/>
                <w:sz w:val="22"/>
                <w:szCs w:val="22"/>
                <w:lang w:val="en-AU"/>
              </w:rPr>
              <w:t>(</w:t>
            </w:r>
            <w:r w:rsidRPr="00AE7EA0">
              <w:rPr>
                <w:rFonts w:eastAsia="Times New Roman"/>
                <w:bCs/>
                <w:i/>
                <w:color w:val="000000"/>
                <w:sz w:val="22"/>
                <w:szCs w:val="22"/>
                <w:lang w:val="en-AU"/>
              </w:rPr>
              <w:t>21) Are there other opportunities to reduce the burden on servicing licensees and business through removing or reducing the requirements of the regulations?</w:t>
            </w:r>
          </w:p>
          <w:p w:rsidR="004D2274" w:rsidRPr="00AB36B8" w:rsidRDefault="00B0311E" w:rsidP="00D348FE">
            <w:pPr>
              <w:spacing w:line="300" w:lineRule="auto"/>
              <w:rPr>
                <w:rFonts w:eastAsia="Times New Roman"/>
                <w:bCs/>
                <w:i/>
                <w:color w:val="000000"/>
                <w:sz w:val="22"/>
                <w:szCs w:val="22"/>
                <w:lang w:val="en-AU"/>
              </w:rPr>
            </w:pPr>
            <w:r>
              <w:rPr>
                <w:rFonts w:eastAsia="Times New Roman"/>
                <w:bCs/>
                <w:i/>
                <w:color w:val="000000"/>
                <w:sz w:val="22"/>
                <w:szCs w:val="22"/>
                <w:lang w:val="en-AU"/>
              </w:rPr>
              <w:t>(</w:t>
            </w:r>
            <w:r w:rsidR="004D2274" w:rsidRPr="00AE7EA0">
              <w:rPr>
                <w:rFonts w:eastAsia="Times New Roman"/>
                <w:bCs/>
                <w:i/>
                <w:color w:val="000000"/>
                <w:sz w:val="22"/>
                <w:szCs w:val="22"/>
                <w:lang w:val="en-AU"/>
              </w:rPr>
              <w:t>22) Are there any other impacts on servicing licensees, as a result of maintaining the current system, that have not been reflected in this paper? Do these have a cost?</w:t>
            </w:r>
          </w:p>
        </w:tc>
      </w:tr>
    </w:tbl>
    <w:p w:rsidR="00300448" w:rsidRDefault="00300448" w:rsidP="00DA34EE"/>
    <w:p w:rsidR="008A34B7" w:rsidRDefault="008A34B7" w:rsidP="008A34B7">
      <w:pPr>
        <w:pStyle w:val="Heading1"/>
      </w:pPr>
      <w:r>
        <w:br w:type="page"/>
      </w:r>
    </w:p>
    <w:p w:rsidR="004D2274" w:rsidRDefault="008A34B7" w:rsidP="008A34B7">
      <w:pPr>
        <w:pStyle w:val="Heading1"/>
      </w:pPr>
      <w:bookmarkStart w:id="18" w:name="_Toc419489464"/>
      <w:r>
        <w:lastRenderedPageBreak/>
        <w:t>Providing your Feedback</w:t>
      </w:r>
      <w:bookmarkEnd w:id="18"/>
    </w:p>
    <w:p w:rsidR="008A34B7" w:rsidRPr="008A34B7" w:rsidRDefault="008A34B7" w:rsidP="008A34B7">
      <w:pPr>
        <w:rPr>
          <w:lang w:val="en-AU"/>
        </w:rPr>
      </w:pPr>
      <w:r w:rsidRPr="008A34B7">
        <w:rPr>
          <w:lang w:val="en-AU"/>
        </w:rPr>
        <w:t xml:space="preserve">The National Measurement Institute (NMI) invites submissions to inform the review of the NITPs. NMI is proposing a two stage consultation process to enable stakeholders to provide feedback on the current trade measurement system and opportunities for reform. </w:t>
      </w:r>
    </w:p>
    <w:p w:rsidR="008A34B7" w:rsidRPr="008A34B7" w:rsidRDefault="008A34B7" w:rsidP="008A34B7">
      <w:pPr>
        <w:rPr>
          <w:lang w:val="en-AU"/>
        </w:rPr>
      </w:pPr>
      <w:r w:rsidRPr="008A34B7">
        <w:rPr>
          <w:lang w:val="en-AU"/>
        </w:rPr>
        <w:t xml:space="preserve">The first public consultation process will run from </w:t>
      </w:r>
      <w:r w:rsidR="00D012BE">
        <w:rPr>
          <w:b/>
          <w:lang w:val="en-AU"/>
        </w:rPr>
        <w:t>27</w:t>
      </w:r>
      <w:r w:rsidR="00D012BE" w:rsidRPr="008A34B7">
        <w:rPr>
          <w:b/>
          <w:lang w:val="en-AU"/>
        </w:rPr>
        <w:t xml:space="preserve"> </w:t>
      </w:r>
      <w:r w:rsidRPr="008A34B7">
        <w:rPr>
          <w:b/>
          <w:lang w:val="en-AU"/>
        </w:rPr>
        <w:t xml:space="preserve">May until </w:t>
      </w:r>
      <w:r w:rsidR="00D012BE">
        <w:rPr>
          <w:b/>
          <w:lang w:val="en-AU"/>
        </w:rPr>
        <w:t>25</w:t>
      </w:r>
      <w:r w:rsidR="00D012BE" w:rsidRPr="008A34B7">
        <w:rPr>
          <w:b/>
          <w:lang w:val="en-AU"/>
        </w:rPr>
        <w:t xml:space="preserve"> </w:t>
      </w:r>
      <w:r w:rsidRPr="008A34B7">
        <w:rPr>
          <w:b/>
          <w:lang w:val="en-AU"/>
        </w:rPr>
        <w:t>June 2015</w:t>
      </w:r>
      <w:r w:rsidRPr="008A34B7">
        <w:rPr>
          <w:lang w:val="en-AU"/>
        </w:rPr>
        <w:t>.</w:t>
      </w:r>
    </w:p>
    <w:p w:rsidR="008A34B7" w:rsidRPr="008A34B7" w:rsidRDefault="008A34B7" w:rsidP="008A34B7">
      <w:pPr>
        <w:rPr>
          <w:lang w:val="en-AU"/>
        </w:rPr>
      </w:pPr>
      <w:r w:rsidRPr="008A34B7">
        <w:rPr>
          <w:lang w:val="en-AU"/>
        </w:rPr>
        <w:t xml:space="preserve">The closing date for submissions and comments is </w:t>
      </w:r>
      <w:r w:rsidR="00D012BE">
        <w:rPr>
          <w:b/>
          <w:lang w:val="en-AU"/>
        </w:rPr>
        <w:t>25</w:t>
      </w:r>
      <w:r w:rsidR="00D012BE" w:rsidRPr="008A34B7">
        <w:rPr>
          <w:b/>
          <w:lang w:val="en-AU"/>
        </w:rPr>
        <w:t xml:space="preserve"> </w:t>
      </w:r>
      <w:r w:rsidRPr="008A34B7">
        <w:rPr>
          <w:b/>
          <w:lang w:val="en-AU"/>
        </w:rPr>
        <w:t>June 2015</w:t>
      </w:r>
      <w:r w:rsidRPr="008A34B7">
        <w:rPr>
          <w:lang w:val="en-AU"/>
        </w:rPr>
        <w:t>.</w:t>
      </w:r>
    </w:p>
    <w:p w:rsidR="008A34B7" w:rsidRPr="008A34B7" w:rsidRDefault="008A34B7" w:rsidP="008A34B7">
      <w:pPr>
        <w:rPr>
          <w:lang w:val="en-AU"/>
        </w:rPr>
      </w:pPr>
      <w:r w:rsidRPr="008A34B7">
        <w:rPr>
          <w:lang w:val="en-AU"/>
        </w:rPr>
        <w:t>Stakeholder feedback to the public consultation process will inform the Government’s consideration of whether there are reforms that could reduce the regulatory burden currently imposed on businesses, other Government agencies and the community. Once the public consultation process is concluded, further targeted consultation may be necessary to clarify any issues or questions which arise from the initial consultation period.</w:t>
      </w:r>
    </w:p>
    <w:p w:rsidR="008A34B7" w:rsidRPr="008A34B7" w:rsidRDefault="008A34B7" w:rsidP="008A34B7">
      <w:pPr>
        <w:rPr>
          <w:lang w:val="en-AU"/>
        </w:rPr>
      </w:pPr>
      <w:r w:rsidRPr="008A34B7">
        <w:rPr>
          <w:lang w:val="en-AU"/>
        </w:rPr>
        <w:t xml:space="preserve">This consultation may inform the development of a Regulation Impact Statement (RIS). If warranted, the second consultation, scheduled for August 2015, would involve the release of a Regulation Impact Statement (RIS) and will allow stakeholders to provide feedback on the RIS. The RIS process is part of the Government’s firm commitment to better regulation that delivers net benefits for businesses and the community. The objective of the RIS would be to inform the Government’s decision about how to proceed from the review based on evidence and feedback from stakeholders. </w:t>
      </w:r>
    </w:p>
    <w:p w:rsidR="008A34B7" w:rsidRPr="008A34B7" w:rsidRDefault="008A34B7" w:rsidP="008A34B7">
      <w:pPr>
        <w:rPr>
          <w:lang w:val="en-AU"/>
        </w:rPr>
      </w:pPr>
      <w:r w:rsidRPr="008A34B7">
        <w:rPr>
          <w:lang w:val="en-AU"/>
        </w:rPr>
        <w:t xml:space="preserve">Consequently, the current consultation will underpin any RIS, which will build on this document by assessing the regulatory burdens discussed in this paper. </w:t>
      </w:r>
    </w:p>
    <w:p w:rsidR="008A34B7" w:rsidRPr="008A34B7" w:rsidRDefault="008A34B7" w:rsidP="008A34B7">
      <w:pPr>
        <w:rPr>
          <w:b/>
          <w:lang w:val="en-AU"/>
        </w:rPr>
      </w:pPr>
      <w:bookmarkStart w:id="19" w:name="_Toc418175617"/>
      <w:r w:rsidRPr="008A34B7">
        <w:rPr>
          <w:b/>
          <w:lang w:val="en-AU"/>
        </w:rPr>
        <w:t>Submissions to this consultation paper</w:t>
      </w:r>
      <w:bookmarkEnd w:id="19"/>
    </w:p>
    <w:p w:rsidR="008A34B7" w:rsidRPr="008A34B7" w:rsidRDefault="008A34B7" w:rsidP="008A34B7">
      <w:pPr>
        <w:rPr>
          <w:lang w:val="en-AU"/>
        </w:rPr>
      </w:pPr>
      <w:r w:rsidRPr="008A34B7">
        <w:rPr>
          <w:lang w:val="en-AU"/>
        </w:rPr>
        <w:t>Key questions are provided throughout this paper and are replicated in the online submission form, to facilitate and focus submissions. Attachments, providing supporting evidence, may also be included.</w:t>
      </w:r>
    </w:p>
    <w:p w:rsidR="008A34B7" w:rsidRPr="008A34B7" w:rsidRDefault="008A34B7" w:rsidP="008A34B7">
      <w:pPr>
        <w:rPr>
          <w:b/>
          <w:bCs/>
          <w:lang w:val="en-AU"/>
        </w:rPr>
      </w:pPr>
      <w:r w:rsidRPr="008A34B7">
        <w:rPr>
          <w:lang w:val="en-AU"/>
        </w:rPr>
        <w:t xml:space="preserve">Your submission must reach NMI by </w:t>
      </w:r>
      <w:r w:rsidRPr="008A34B7">
        <w:rPr>
          <w:b/>
          <w:bCs/>
          <w:lang w:val="en-AU"/>
        </w:rPr>
        <w:t xml:space="preserve">11.59 PM AEST on </w:t>
      </w:r>
      <w:r w:rsidR="00D051EC">
        <w:rPr>
          <w:b/>
          <w:bCs/>
          <w:lang w:val="en-AU"/>
        </w:rPr>
        <w:t>T</w:t>
      </w:r>
      <w:r w:rsidR="00D012BE">
        <w:rPr>
          <w:b/>
          <w:bCs/>
          <w:lang w:val="en-AU"/>
        </w:rPr>
        <w:t>hurs</w:t>
      </w:r>
      <w:r w:rsidRPr="008A34B7">
        <w:rPr>
          <w:b/>
          <w:bCs/>
          <w:lang w:val="en-AU"/>
        </w:rPr>
        <w:t xml:space="preserve">day </w:t>
      </w:r>
      <w:r w:rsidR="00D012BE">
        <w:rPr>
          <w:b/>
          <w:bCs/>
          <w:lang w:val="en-AU"/>
        </w:rPr>
        <w:t>25</w:t>
      </w:r>
      <w:r w:rsidR="00D012BE" w:rsidRPr="008A34B7">
        <w:rPr>
          <w:b/>
          <w:bCs/>
          <w:lang w:val="en-AU"/>
        </w:rPr>
        <w:t xml:space="preserve"> </w:t>
      </w:r>
      <w:r w:rsidRPr="008A34B7">
        <w:rPr>
          <w:b/>
          <w:bCs/>
          <w:lang w:val="en-AU"/>
        </w:rPr>
        <w:t>June 2015.</w:t>
      </w:r>
    </w:p>
    <w:p w:rsidR="008A34B7" w:rsidRPr="008A34B7" w:rsidRDefault="008A34B7" w:rsidP="008A34B7">
      <w:pPr>
        <w:rPr>
          <w:lang w:val="en-AU"/>
        </w:rPr>
      </w:pPr>
      <w:r w:rsidRPr="008A34B7">
        <w:rPr>
          <w:lang w:val="en-AU"/>
        </w:rPr>
        <w:t>Responses to the consultation paper may be submitted:</w:t>
      </w:r>
    </w:p>
    <w:p w:rsidR="008A34B7" w:rsidRPr="008A34B7" w:rsidRDefault="008A34B7" w:rsidP="008A34B7">
      <w:pPr>
        <w:pStyle w:val="ListParagraph"/>
        <w:numPr>
          <w:ilvl w:val="0"/>
          <w:numId w:val="14"/>
        </w:numPr>
        <w:rPr>
          <w:lang w:val="en-AU"/>
        </w:rPr>
      </w:pPr>
      <w:r w:rsidRPr="008A34B7">
        <w:rPr>
          <w:lang w:val="en-AU"/>
        </w:rPr>
        <w:t>online, through the Department’s consultation hub;</w:t>
      </w:r>
    </w:p>
    <w:p w:rsidR="008A34B7" w:rsidRPr="008A34B7" w:rsidRDefault="008A34B7" w:rsidP="008A34B7">
      <w:pPr>
        <w:pStyle w:val="ListParagraph"/>
        <w:numPr>
          <w:ilvl w:val="0"/>
          <w:numId w:val="14"/>
        </w:numPr>
        <w:rPr>
          <w:lang w:val="en-AU"/>
        </w:rPr>
      </w:pPr>
      <w:r w:rsidRPr="008A34B7">
        <w:rPr>
          <w:lang w:val="en-AU"/>
        </w:rPr>
        <w:t>by downloading a form to fill-in (available on the Department’s consultation hub) and</w:t>
      </w:r>
    </w:p>
    <w:p w:rsidR="008A34B7" w:rsidRPr="008A34B7" w:rsidRDefault="008A34B7" w:rsidP="008A34B7">
      <w:pPr>
        <w:numPr>
          <w:ilvl w:val="0"/>
          <w:numId w:val="15"/>
        </w:numPr>
        <w:rPr>
          <w:lang w:val="en-AU"/>
        </w:rPr>
      </w:pPr>
      <w:r w:rsidRPr="008A34B7">
        <w:rPr>
          <w:lang w:val="en-AU"/>
        </w:rPr>
        <w:t xml:space="preserve">emailing to </w:t>
      </w:r>
      <w:hyperlink r:id="rId11" w:history="1">
        <w:r w:rsidRPr="008A34B7">
          <w:rPr>
            <w:rStyle w:val="Hyperlink"/>
            <w:lang w:val="en-AU"/>
          </w:rPr>
          <w:t>NMILegalMetrologyPolicy@measurement.gov.au</w:t>
        </w:r>
      </w:hyperlink>
      <w:r w:rsidRPr="008A34B7">
        <w:rPr>
          <w:lang w:val="en-AU"/>
        </w:rPr>
        <w:t>; or</w:t>
      </w:r>
    </w:p>
    <w:p w:rsidR="008A34B7" w:rsidRPr="008A34B7" w:rsidRDefault="008A34B7" w:rsidP="008A34B7">
      <w:pPr>
        <w:numPr>
          <w:ilvl w:val="0"/>
          <w:numId w:val="15"/>
        </w:numPr>
        <w:rPr>
          <w:lang w:val="en-AU"/>
        </w:rPr>
      </w:pPr>
      <w:r w:rsidRPr="008A34B7">
        <w:rPr>
          <w:lang w:val="en-AU"/>
        </w:rPr>
        <w:t>posting to Legal Metrology Branch, National Measurement Institute, PO Box 264, Lindfield NSW 2070 marked Attention: NITP Review</w:t>
      </w:r>
    </w:p>
    <w:p w:rsidR="008A34B7" w:rsidRPr="008A34B7" w:rsidRDefault="008A34B7" w:rsidP="008A34B7">
      <w:pPr>
        <w:rPr>
          <w:lang w:val="en-AU"/>
        </w:rPr>
      </w:pPr>
      <w:r w:rsidRPr="008A34B7">
        <w:rPr>
          <w:lang w:val="en-AU"/>
        </w:rPr>
        <w:t>with the subject heading ‘NIT</w:t>
      </w:r>
      <w:r w:rsidR="0071378B">
        <w:rPr>
          <w:lang w:val="en-AU"/>
        </w:rPr>
        <w:t>P</w:t>
      </w:r>
      <w:r w:rsidRPr="008A34B7">
        <w:rPr>
          <w:lang w:val="en-AU"/>
        </w:rPr>
        <w:t xml:space="preserve"> Review and your company or individual name.</w:t>
      </w:r>
    </w:p>
    <w:p w:rsidR="008A34B7" w:rsidRPr="008A34B7" w:rsidRDefault="00D012BE" w:rsidP="008A34B7">
      <w:pPr>
        <w:rPr>
          <w:lang w:val="en-AU"/>
        </w:rPr>
      </w:pPr>
      <w:r>
        <w:rPr>
          <w:lang w:val="en-AU"/>
        </w:rPr>
        <w:t>NMI</w:t>
      </w:r>
      <w:r w:rsidR="008A34B7" w:rsidRPr="008A34B7">
        <w:rPr>
          <w:lang w:val="en-AU"/>
        </w:rPr>
        <w:t xml:space="preserve"> prefers submissions to be submitted online through the consultation hub.</w:t>
      </w:r>
    </w:p>
    <w:p w:rsidR="008A34B7" w:rsidRPr="008A34B7" w:rsidRDefault="008A34B7" w:rsidP="008A34B7">
      <w:pPr>
        <w:rPr>
          <w:lang w:val="en-AU"/>
        </w:rPr>
      </w:pPr>
      <w:r w:rsidRPr="008A34B7">
        <w:rPr>
          <w:lang w:val="en-AU"/>
        </w:rPr>
        <w:lastRenderedPageBreak/>
        <w:t>All information (including name and address) contained in formal submissions may be made available to the public on the Department’s consultation hub following the close of submission, unless you request for your submission to be treated confidentially.</w:t>
      </w:r>
    </w:p>
    <w:p w:rsidR="008A34B7" w:rsidRDefault="008A34B7" w:rsidP="008A34B7">
      <w:pPr>
        <w:rPr>
          <w:lang w:val="en-AU"/>
        </w:rPr>
      </w:pPr>
      <w:r w:rsidRPr="008A34B7">
        <w:rPr>
          <w:lang w:val="en-AU"/>
        </w:rPr>
        <w:t>For this purpose, automatically generated confidentiality statements in emails would not be viewed as a request to consider your submission as confidential.</w:t>
      </w:r>
    </w:p>
    <w:p w:rsidR="008A34B7" w:rsidRPr="008A34B7" w:rsidRDefault="008A34B7" w:rsidP="008A34B7">
      <w:pPr>
        <w:pStyle w:val="Heading2"/>
        <w:rPr>
          <w:lang w:val="en-AU"/>
        </w:rPr>
      </w:pPr>
      <w:bookmarkStart w:id="20" w:name="_Toc419489465"/>
      <w:r>
        <w:rPr>
          <w:lang w:val="en-AU"/>
        </w:rPr>
        <w:t xml:space="preserve">Providing a </w:t>
      </w:r>
      <w:r w:rsidR="005E422B">
        <w:rPr>
          <w:lang w:val="en-AU"/>
        </w:rPr>
        <w:t>confidential</w:t>
      </w:r>
      <w:r>
        <w:rPr>
          <w:lang w:val="en-AU"/>
        </w:rPr>
        <w:t xml:space="preserve"> submission</w:t>
      </w:r>
      <w:bookmarkEnd w:id="20"/>
    </w:p>
    <w:p w:rsidR="008A34B7" w:rsidRDefault="008A34B7" w:rsidP="008A34B7">
      <w:pPr>
        <w:rPr>
          <w:color w:val="000000" w:themeColor="text1"/>
        </w:rPr>
      </w:pPr>
      <w:r>
        <w:rPr>
          <w:color w:val="000000" w:themeColor="text1"/>
        </w:rPr>
        <w:t>If you wish to make a confidential submission, please complete the commercial-in-confidence submission form that is available on the Department’s consultation hub.</w:t>
      </w:r>
    </w:p>
    <w:p w:rsidR="008A34B7" w:rsidRDefault="008A34B7" w:rsidP="008A34B7">
      <w:pPr>
        <w:rPr>
          <w:b/>
          <w:color w:val="000000" w:themeColor="text1"/>
        </w:rPr>
      </w:pPr>
      <w:r>
        <w:rPr>
          <w:color w:val="000000" w:themeColor="text1"/>
        </w:rPr>
        <w:t xml:space="preserve">A request made under the </w:t>
      </w:r>
      <w:r>
        <w:rPr>
          <w:i/>
          <w:color w:val="000000" w:themeColor="text1"/>
        </w:rPr>
        <w:t>Freedom of Information Act 1982</w:t>
      </w:r>
      <w:r>
        <w:rPr>
          <w:color w:val="000000" w:themeColor="text1"/>
        </w:rPr>
        <w:t xml:space="preserve"> (Cth) for a submission marked ‘confidential’ to be made available will be determined in accordance with that Act.</w:t>
      </w:r>
    </w:p>
    <w:sectPr w:rsidR="008A34B7" w:rsidSect="004A3319">
      <w:footerReference w:type="even" r:id="rId12"/>
      <w:footerReference w:type="default" r:id="rId13"/>
      <w:headerReference w:type="first" r:id="rId14"/>
      <w:pgSz w:w="11900" w:h="16840"/>
      <w:pgMar w:top="1677" w:right="1800" w:bottom="1440" w:left="180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3C3" w:rsidRDefault="00E963C3" w:rsidP="00786840">
      <w:r>
        <w:separator/>
      </w:r>
    </w:p>
  </w:endnote>
  <w:endnote w:type="continuationSeparator" w:id="0">
    <w:p w:rsidR="00E963C3" w:rsidRDefault="00E963C3" w:rsidP="0078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DA4" w:rsidRDefault="007A0DA4" w:rsidP="004832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0DA4" w:rsidRDefault="007A0DA4" w:rsidP="0048325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DA4" w:rsidRDefault="007A0DA4" w:rsidP="00AF068A">
    <w:pPr>
      <w:pStyle w:val="Footer"/>
      <w:framePr w:w="534" w:h="374" w:hRule="exact" w:wrap="around" w:vAnchor="text" w:hAnchor="page" w:x="10621" w:y="13"/>
      <w:jc w:val="right"/>
      <w:rPr>
        <w:rStyle w:val="PageNumber"/>
      </w:rPr>
    </w:pPr>
    <w:r>
      <w:rPr>
        <w:rStyle w:val="PageNumber"/>
      </w:rPr>
      <w:fldChar w:fldCharType="begin"/>
    </w:r>
    <w:r>
      <w:rPr>
        <w:rStyle w:val="PageNumber"/>
      </w:rPr>
      <w:instrText xml:space="preserve">PAGE  </w:instrText>
    </w:r>
    <w:r>
      <w:rPr>
        <w:rStyle w:val="PageNumber"/>
      </w:rPr>
      <w:fldChar w:fldCharType="separate"/>
    </w:r>
    <w:r w:rsidR="00742D13">
      <w:rPr>
        <w:rStyle w:val="PageNumber"/>
        <w:noProof/>
      </w:rPr>
      <w:t>10</w:t>
    </w:r>
    <w:r>
      <w:rPr>
        <w:rStyle w:val="PageNumber"/>
      </w:rPr>
      <w:fldChar w:fldCharType="end"/>
    </w:r>
  </w:p>
  <w:p w:rsidR="007A0DA4" w:rsidRPr="0048325C" w:rsidRDefault="00356508" w:rsidP="0048325C">
    <w:pPr>
      <w:pStyle w:val="Footer"/>
      <w:ind w:right="360"/>
      <w:rPr>
        <w:sz w:val="16"/>
        <w:szCs w:val="16"/>
      </w:rPr>
    </w:pPr>
    <w:r>
      <w:rPr>
        <w:noProof/>
        <w:lang w:val="en-AU" w:eastAsia="en-AU"/>
      </w:rPr>
      <w:drawing>
        <wp:anchor distT="0" distB="0" distL="114300" distR="114300" simplePos="0" relativeHeight="251658240" behindDoc="1" locked="0" layoutInCell="1" allowOverlap="1" wp14:anchorId="0673E9FE" wp14:editId="27E461DC">
          <wp:simplePos x="0" y="0"/>
          <wp:positionH relativeFrom="column">
            <wp:posOffset>-1142365</wp:posOffset>
          </wp:positionH>
          <wp:positionV relativeFrom="paragraph">
            <wp:posOffset>236220</wp:posOffset>
          </wp:positionV>
          <wp:extent cx="7559040" cy="266700"/>
          <wp:effectExtent l="0" t="0" r="3810" b="0"/>
          <wp:wrapNone/>
          <wp:docPr id="2" name="Picture 1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t="9581" b="40120"/>
                  <a:stretch>
                    <a:fillRect/>
                  </a:stretch>
                </pic:blipFill>
                <pic:spPr bwMode="auto">
                  <a:xfrm>
                    <a:off x="0" y="0"/>
                    <a:ext cx="7559040" cy="266700"/>
                  </a:xfrm>
                  <a:prstGeom prst="rect">
                    <a:avLst/>
                  </a:prstGeom>
                  <a:noFill/>
                  <a:ln>
                    <a:noFill/>
                  </a:ln>
                </pic:spPr>
              </pic:pic>
            </a:graphicData>
          </a:graphic>
          <wp14:sizeRelH relativeFrom="page">
            <wp14:pctWidth>0</wp14:pctWidth>
          </wp14:sizeRelH>
          <wp14:sizeRelV relativeFrom="page">
            <wp14:pctHeight>0</wp14:pctHeight>
          </wp14:sizeRelV>
        </wp:anchor>
      </w:drawing>
    </w:r>
    <w:r w:rsidR="00A236C6">
      <w:rPr>
        <w:rStyle w:val="PageNumber"/>
        <w:sz w:val="16"/>
        <w:szCs w:val="16"/>
      </w:rPr>
      <w:t>CONSULTATION ON NITP REVIEW</w:t>
    </w:r>
    <w:r w:rsidR="007A0DA4" w:rsidRPr="0048325C">
      <w:rPr>
        <w:noProof/>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3C3" w:rsidRDefault="00E963C3" w:rsidP="00786840">
      <w:r>
        <w:separator/>
      </w:r>
    </w:p>
  </w:footnote>
  <w:footnote w:type="continuationSeparator" w:id="0">
    <w:p w:rsidR="00E963C3" w:rsidRDefault="00E963C3" w:rsidP="00786840">
      <w:r>
        <w:continuationSeparator/>
      </w:r>
    </w:p>
  </w:footnote>
  <w:footnote w:id="1">
    <w:p w:rsidR="00453480" w:rsidRPr="00453480" w:rsidRDefault="00453480">
      <w:pPr>
        <w:pStyle w:val="FootnoteText"/>
      </w:pPr>
      <w:r>
        <w:rPr>
          <w:rStyle w:val="FootnoteReference"/>
        </w:rPr>
        <w:footnoteRef/>
      </w:r>
      <w:r>
        <w:t xml:space="preserve"> </w:t>
      </w:r>
      <w:r>
        <w:rPr>
          <w:rFonts w:cs="Arial"/>
          <w:sz w:val="16"/>
          <w:szCs w:val="16"/>
        </w:rPr>
        <w:t xml:space="preserve">Booz Allen Hamilton (Australia) Ltd. Prepared for Standing Committee of Officials on Consumer Affairs, </w:t>
      </w:r>
      <w:r>
        <w:rPr>
          <w:rFonts w:cs="Arial"/>
          <w:i/>
          <w:sz w:val="16"/>
          <w:szCs w:val="16"/>
        </w:rPr>
        <w:t>Final Report – Review of National Arrangements for Administering Trade Measurement in Australia</w:t>
      </w:r>
      <w:r>
        <w:rPr>
          <w:rFonts w:cs="Arial"/>
          <w:sz w:val="16"/>
          <w:szCs w:val="16"/>
        </w:rPr>
        <w:t>, p6.</w:t>
      </w:r>
    </w:p>
  </w:footnote>
  <w:footnote w:id="2">
    <w:p w:rsidR="00E95B57" w:rsidRPr="001A03E3" w:rsidRDefault="00E95B57" w:rsidP="00E95B57">
      <w:pPr>
        <w:pStyle w:val="FootnoteText"/>
        <w:rPr>
          <w:rFonts w:cs="Arial"/>
          <w:sz w:val="16"/>
          <w:szCs w:val="16"/>
        </w:rPr>
      </w:pPr>
      <w:r w:rsidRPr="001A03E3">
        <w:rPr>
          <w:rStyle w:val="FootnoteReference"/>
          <w:rFonts w:cs="Arial"/>
          <w:sz w:val="16"/>
          <w:szCs w:val="16"/>
        </w:rPr>
        <w:footnoteRef/>
      </w:r>
      <w:r w:rsidRPr="001A03E3">
        <w:rPr>
          <w:rFonts w:cs="Arial"/>
          <w:sz w:val="16"/>
          <w:szCs w:val="16"/>
        </w:rPr>
        <w:t xml:space="preserve"> </w:t>
      </w:r>
      <w:r w:rsidR="00453480">
        <w:rPr>
          <w:rFonts w:cs="Arial"/>
          <w:sz w:val="16"/>
          <w:szCs w:val="16"/>
        </w:rPr>
        <w:t>Ibid</w:t>
      </w:r>
      <w:r w:rsidRPr="001A03E3">
        <w:rPr>
          <w:rFonts w:cs="Arial"/>
          <w:sz w:val="16"/>
          <w:szCs w:val="16"/>
        </w:rPr>
        <w:t>.</w:t>
      </w:r>
    </w:p>
  </w:footnote>
  <w:footnote w:id="3">
    <w:p w:rsidR="00E95B57" w:rsidRDefault="00E95B57" w:rsidP="00E95B57">
      <w:pPr>
        <w:pStyle w:val="FootnoteText"/>
      </w:pPr>
      <w:r>
        <w:rPr>
          <w:rStyle w:val="FootnoteReference"/>
        </w:rPr>
        <w:footnoteRef/>
      </w:r>
      <w:r>
        <w:t xml:space="preserve"> </w:t>
      </w:r>
      <w:r w:rsidRPr="00850010">
        <w:rPr>
          <w:rFonts w:cs="Arial"/>
          <w:sz w:val="16"/>
          <w:szCs w:val="16"/>
        </w:rPr>
        <w:t>Pattern approval assesses the design of a specific model of measuring instrument to ensure it conforms to the requirements specified in the national standard for that type of instrument.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DA4" w:rsidRDefault="00356508">
    <w:pPr>
      <w:pStyle w:val="Header"/>
    </w:pPr>
    <w:r>
      <w:rPr>
        <w:noProof/>
        <w:lang w:val="en-AU" w:eastAsia="en-AU"/>
      </w:rPr>
      <w:drawing>
        <wp:anchor distT="0" distB="0" distL="114300" distR="114300" simplePos="0" relativeHeight="251657216" behindDoc="1" locked="0" layoutInCell="1" allowOverlap="1">
          <wp:simplePos x="0" y="0"/>
          <wp:positionH relativeFrom="column">
            <wp:posOffset>-1142365</wp:posOffset>
          </wp:positionH>
          <wp:positionV relativeFrom="paragraph">
            <wp:posOffset>-487680</wp:posOffset>
          </wp:positionV>
          <wp:extent cx="7594600" cy="10738485"/>
          <wp:effectExtent l="0" t="0" r="6350" b="5715"/>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4600" cy="107384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272D"/>
    <w:multiLevelType w:val="multilevel"/>
    <w:tmpl w:val="81365712"/>
    <w:lvl w:ilvl="0">
      <w:start w:val="1"/>
      <w:numFmt w:val="bullet"/>
      <w:lvlText w:val=""/>
      <w:lvlJc w:val="left"/>
      <w:pPr>
        <w:ind w:left="907" w:hanging="283"/>
      </w:pPr>
      <w:rPr>
        <w:rFonts w:ascii="Symbol" w:hAnsi="Symbol" w:hint="default"/>
        <w:b/>
        <w:bCs/>
        <w:i w:val="0"/>
        <w:iCs w:val="0"/>
        <w:color w:val="005677"/>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nsid w:val="0CAA11E1"/>
    <w:multiLevelType w:val="hybridMultilevel"/>
    <w:tmpl w:val="9C6C4DE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0B35707"/>
    <w:multiLevelType w:val="hybridMultilevel"/>
    <w:tmpl w:val="FB601FF8"/>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nsid w:val="24755D6D"/>
    <w:multiLevelType w:val="hybridMultilevel"/>
    <w:tmpl w:val="F5F8D6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BF04E82"/>
    <w:multiLevelType w:val="multilevel"/>
    <w:tmpl w:val="15A2557A"/>
    <w:lvl w:ilvl="0">
      <w:start w:val="1"/>
      <w:numFmt w:val="bullet"/>
      <w:lvlText w:val=""/>
      <w:lvlJc w:val="left"/>
      <w:pPr>
        <w:ind w:left="644" w:hanging="360"/>
      </w:pPr>
      <w:rPr>
        <w:rFonts w:ascii="Symbol" w:hAnsi="Symbol" w:hint="default"/>
        <w:b/>
        <w:bCs/>
        <w:i w:val="0"/>
        <w:iCs w:val="0"/>
        <w:color w:val="005677"/>
        <w:sz w:val="24"/>
        <w:szCs w:val="24"/>
      </w:rPr>
    </w:lvl>
    <w:lvl w:ilvl="1">
      <w:start w:val="1"/>
      <w:numFmt w:val="bullet"/>
      <w:lvlText w:val="o"/>
      <w:lvlJc w:val="left"/>
      <w:pPr>
        <w:ind w:left="1440" w:hanging="360"/>
      </w:pPr>
      <w:rPr>
        <w:rFonts w:ascii="Courier" w:hAnsi="Courier"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w:hAnsi="Courier"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w:hAnsi="Courier" w:hint="default"/>
      </w:rPr>
    </w:lvl>
    <w:lvl w:ilvl="8">
      <w:start w:val="1"/>
      <w:numFmt w:val="bullet"/>
      <w:lvlText w:val=""/>
      <w:lvlJc w:val="left"/>
      <w:pPr>
        <w:ind w:left="6480" w:hanging="360"/>
      </w:pPr>
      <w:rPr>
        <w:rFonts w:ascii="Symbol" w:hAnsi="Symbol" w:hint="default"/>
      </w:rPr>
    </w:lvl>
  </w:abstractNum>
  <w:abstractNum w:abstractNumId="5">
    <w:nsid w:val="346C5F45"/>
    <w:multiLevelType w:val="multilevel"/>
    <w:tmpl w:val="05362BB8"/>
    <w:lvl w:ilvl="0">
      <w:start w:val="1"/>
      <w:numFmt w:val="bullet"/>
      <w:lvlText w:val=""/>
      <w:lvlJc w:val="left"/>
      <w:pPr>
        <w:ind w:left="644" w:hanging="360"/>
      </w:pPr>
      <w:rPr>
        <w:rFonts w:ascii="Symbol" w:hAnsi="Symbol" w:hint="default"/>
        <w:b/>
        <w:bCs/>
        <w:i w:val="0"/>
        <w:iCs w:val="0"/>
        <w:color w:val="930623"/>
        <w:sz w:val="24"/>
        <w:szCs w:val="24"/>
      </w:rPr>
    </w:lvl>
    <w:lvl w:ilvl="1">
      <w:start w:val="1"/>
      <w:numFmt w:val="bullet"/>
      <w:lvlText w:val="o"/>
      <w:lvlJc w:val="left"/>
      <w:pPr>
        <w:ind w:left="1440" w:hanging="360"/>
      </w:pPr>
      <w:rPr>
        <w:rFonts w:ascii="Courier" w:hAnsi="Courier"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w:hAnsi="Courier"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w:hAnsi="Courier" w:hint="default"/>
      </w:rPr>
    </w:lvl>
    <w:lvl w:ilvl="8">
      <w:start w:val="1"/>
      <w:numFmt w:val="bullet"/>
      <w:lvlText w:val=""/>
      <w:lvlJc w:val="left"/>
      <w:pPr>
        <w:ind w:left="6480" w:hanging="360"/>
      </w:pPr>
      <w:rPr>
        <w:rFonts w:ascii="Symbol" w:hAnsi="Symbol" w:hint="default"/>
      </w:rPr>
    </w:lvl>
  </w:abstractNum>
  <w:abstractNum w:abstractNumId="6">
    <w:nsid w:val="3E601FE6"/>
    <w:multiLevelType w:val="multilevel"/>
    <w:tmpl w:val="C18CA598"/>
    <w:lvl w:ilvl="0">
      <w:start w:val="1"/>
      <w:numFmt w:val="bullet"/>
      <w:lvlText w:val=""/>
      <w:lvlJc w:val="left"/>
      <w:pPr>
        <w:ind w:left="737" w:hanging="227"/>
      </w:pPr>
      <w:rPr>
        <w:rFonts w:ascii="Symbol" w:hAnsi="Symbol" w:hint="default"/>
        <w:b/>
        <w:bCs/>
        <w:i w:val="0"/>
        <w:iCs w:val="0"/>
        <w:color w:val="005677"/>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45662E41"/>
    <w:multiLevelType w:val="hybridMultilevel"/>
    <w:tmpl w:val="F6DC219C"/>
    <w:lvl w:ilvl="0" w:tplc="68FCEA52">
      <w:start w:val="1"/>
      <w:numFmt w:val="bullet"/>
      <w:pStyle w:val="Bullets"/>
      <w:lvlText w:val=""/>
      <w:lvlJc w:val="left"/>
      <w:pPr>
        <w:ind w:left="644" w:hanging="360"/>
      </w:pPr>
      <w:rPr>
        <w:rFonts w:ascii="Wingdings" w:hAnsi="Wingdings" w:hint="default"/>
        <w:b/>
        <w:bCs/>
        <w:i w:val="0"/>
        <w:iCs w:val="0"/>
        <w:color w:val="930623"/>
        <w:sz w:val="24"/>
        <w:szCs w:val="24"/>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8">
    <w:nsid w:val="5AC50BFE"/>
    <w:multiLevelType w:val="multilevel"/>
    <w:tmpl w:val="583A171C"/>
    <w:lvl w:ilvl="0">
      <w:start w:val="1"/>
      <w:numFmt w:val="bullet"/>
      <w:lvlText w:val=""/>
      <w:lvlJc w:val="left"/>
      <w:pPr>
        <w:ind w:left="644" w:hanging="360"/>
      </w:pPr>
      <w:rPr>
        <w:rFonts w:ascii="Symbol" w:hAnsi="Symbol" w:hint="default"/>
        <w:b/>
        <w:bCs/>
        <w:i w:val="0"/>
        <w:iCs w:val="0"/>
        <w:color w:val="005677"/>
        <w:sz w:val="24"/>
        <w:szCs w:val="24"/>
      </w:rPr>
    </w:lvl>
    <w:lvl w:ilvl="1">
      <w:start w:val="1"/>
      <w:numFmt w:val="bullet"/>
      <w:lvlText w:val="o"/>
      <w:lvlJc w:val="left"/>
      <w:pPr>
        <w:ind w:left="1440" w:hanging="360"/>
      </w:pPr>
      <w:rPr>
        <w:rFonts w:ascii="Courier" w:hAnsi="Courier"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w:hAnsi="Courier"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w:hAnsi="Courier" w:hint="default"/>
      </w:rPr>
    </w:lvl>
    <w:lvl w:ilvl="8">
      <w:start w:val="1"/>
      <w:numFmt w:val="bullet"/>
      <w:lvlText w:val=""/>
      <w:lvlJc w:val="left"/>
      <w:pPr>
        <w:ind w:left="6480" w:hanging="360"/>
      </w:pPr>
      <w:rPr>
        <w:rFonts w:ascii="Symbol" w:hAnsi="Symbol" w:hint="default"/>
      </w:rPr>
    </w:lvl>
  </w:abstractNum>
  <w:abstractNum w:abstractNumId="9">
    <w:nsid w:val="5C6C586A"/>
    <w:multiLevelType w:val="multilevel"/>
    <w:tmpl w:val="81C8751A"/>
    <w:lvl w:ilvl="0">
      <w:start w:val="1"/>
      <w:numFmt w:val="bullet"/>
      <w:lvlText w:val=""/>
      <w:lvlJc w:val="left"/>
      <w:pPr>
        <w:ind w:left="737" w:hanging="283"/>
      </w:pPr>
      <w:rPr>
        <w:rFonts w:ascii="Symbol" w:hAnsi="Symbol" w:hint="default"/>
        <w:b/>
        <w:bCs/>
        <w:i w:val="0"/>
        <w:iCs w:val="0"/>
        <w:color w:val="005677"/>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676F5526"/>
    <w:multiLevelType w:val="multilevel"/>
    <w:tmpl w:val="0F966FB8"/>
    <w:lvl w:ilvl="0">
      <w:start w:val="1"/>
      <w:numFmt w:val="bullet"/>
      <w:lvlText w:val=""/>
      <w:lvlJc w:val="left"/>
      <w:pPr>
        <w:ind w:left="567" w:hanging="283"/>
      </w:pPr>
      <w:rPr>
        <w:rFonts w:ascii="Webdings" w:hAnsi="Webdings" w:hint="default"/>
        <w:b/>
        <w:bCs/>
        <w:i w:val="0"/>
        <w:iCs w:val="0"/>
        <w:color w:val="005677"/>
        <w:sz w:val="24"/>
        <w:szCs w:val="24"/>
      </w:rPr>
    </w:lvl>
    <w:lvl w:ilvl="1">
      <w:start w:val="1"/>
      <w:numFmt w:val="bullet"/>
      <w:lvlText w:val="o"/>
      <w:lvlJc w:val="left"/>
      <w:pPr>
        <w:ind w:left="1440" w:hanging="360"/>
      </w:pPr>
      <w:rPr>
        <w:rFonts w:ascii="Courier" w:hAnsi="Courier"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w:hAnsi="Courier"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w:hAnsi="Courier" w:hint="default"/>
      </w:rPr>
    </w:lvl>
    <w:lvl w:ilvl="8">
      <w:start w:val="1"/>
      <w:numFmt w:val="bullet"/>
      <w:lvlText w:val=""/>
      <w:lvlJc w:val="left"/>
      <w:pPr>
        <w:ind w:left="6480" w:hanging="360"/>
      </w:pPr>
      <w:rPr>
        <w:rFonts w:ascii="Symbol" w:hAnsi="Symbol" w:hint="default"/>
      </w:rPr>
    </w:lvl>
  </w:abstractNum>
  <w:abstractNum w:abstractNumId="11">
    <w:nsid w:val="67C40D1B"/>
    <w:multiLevelType w:val="hybridMultilevel"/>
    <w:tmpl w:val="D2B4F2D0"/>
    <w:lvl w:ilvl="0" w:tplc="0C09001B">
      <w:start w:val="1"/>
      <w:numFmt w:val="lowerRoman"/>
      <w:lvlText w:val="%1."/>
      <w:lvlJc w:val="right"/>
      <w:pPr>
        <w:ind w:left="1286" w:hanging="360"/>
      </w:pPr>
    </w:lvl>
    <w:lvl w:ilvl="1" w:tplc="0C090019">
      <w:start w:val="1"/>
      <w:numFmt w:val="lowerLetter"/>
      <w:lvlText w:val="%2."/>
      <w:lvlJc w:val="left"/>
      <w:pPr>
        <w:ind w:left="2006" w:hanging="360"/>
      </w:pPr>
    </w:lvl>
    <w:lvl w:ilvl="2" w:tplc="0C09001B">
      <w:start w:val="1"/>
      <w:numFmt w:val="lowerRoman"/>
      <w:lvlText w:val="%3."/>
      <w:lvlJc w:val="right"/>
      <w:pPr>
        <w:ind w:left="2726" w:hanging="180"/>
      </w:pPr>
    </w:lvl>
    <w:lvl w:ilvl="3" w:tplc="0C09000F">
      <w:start w:val="1"/>
      <w:numFmt w:val="decimal"/>
      <w:lvlText w:val="%4."/>
      <w:lvlJc w:val="left"/>
      <w:pPr>
        <w:ind w:left="3446" w:hanging="360"/>
      </w:pPr>
    </w:lvl>
    <w:lvl w:ilvl="4" w:tplc="0C090019">
      <w:start w:val="1"/>
      <w:numFmt w:val="lowerLetter"/>
      <w:lvlText w:val="%5."/>
      <w:lvlJc w:val="left"/>
      <w:pPr>
        <w:ind w:left="4166" w:hanging="360"/>
      </w:pPr>
    </w:lvl>
    <w:lvl w:ilvl="5" w:tplc="0C09001B">
      <w:start w:val="1"/>
      <w:numFmt w:val="lowerRoman"/>
      <w:lvlText w:val="%6."/>
      <w:lvlJc w:val="right"/>
      <w:pPr>
        <w:ind w:left="4886" w:hanging="180"/>
      </w:pPr>
    </w:lvl>
    <w:lvl w:ilvl="6" w:tplc="0C09000F">
      <w:start w:val="1"/>
      <w:numFmt w:val="decimal"/>
      <w:lvlText w:val="%7."/>
      <w:lvlJc w:val="left"/>
      <w:pPr>
        <w:ind w:left="5606" w:hanging="360"/>
      </w:pPr>
    </w:lvl>
    <w:lvl w:ilvl="7" w:tplc="0C090019">
      <w:start w:val="1"/>
      <w:numFmt w:val="lowerLetter"/>
      <w:lvlText w:val="%8."/>
      <w:lvlJc w:val="left"/>
      <w:pPr>
        <w:ind w:left="6326" w:hanging="360"/>
      </w:pPr>
    </w:lvl>
    <w:lvl w:ilvl="8" w:tplc="0C09001B">
      <w:start w:val="1"/>
      <w:numFmt w:val="lowerRoman"/>
      <w:lvlText w:val="%9."/>
      <w:lvlJc w:val="right"/>
      <w:pPr>
        <w:ind w:left="7046" w:hanging="180"/>
      </w:pPr>
    </w:lvl>
  </w:abstractNum>
  <w:abstractNum w:abstractNumId="12">
    <w:nsid w:val="6C252209"/>
    <w:multiLevelType w:val="hybridMultilevel"/>
    <w:tmpl w:val="159AF800"/>
    <w:lvl w:ilvl="0" w:tplc="E67A6DAE">
      <w:start w:val="1"/>
      <w:numFmt w:val="bullet"/>
      <w:pStyle w:val="Bullet-2ndlevel"/>
      <w:lvlText w:val="–"/>
      <w:lvlJc w:val="left"/>
      <w:pPr>
        <w:ind w:left="907" w:hanging="283"/>
      </w:pPr>
      <w:rPr>
        <w:rFonts w:ascii="Arial" w:hAnsi="Arial" w:hint="default"/>
        <w:b/>
        <w:bCs/>
        <w:i w:val="0"/>
        <w:iCs w:val="0"/>
        <w:color w:val="80000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DE5FBD"/>
    <w:multiLevelType w:val="hybridMultilevel"/>
    <w:tmpl w:val="F572C8FA"/>
    <w:lvl w:ilvl="0" w:tplc="6E065B32">
      <w:start w:val="1"/>
      <w:numFmt w:val="decimal"/>
      <w:lvlText w:val="%1."/>
      <w:lvlJc w:val="left"/>
      <w:pPr>
        <w:ind w:left="643" w:hanging="360"/>
      </w:pPr>
    </w:lvl>
    <w:lvl w:ilvl="1" w:tplc="BF7C8A8E">
      <w:start w:val="1"/>
      <w:numFmt w:val="lowerRoman"/>
      <w:lvlText w:val="%2)"/>
      <w:lvlJc w:val="left"/>
      <w:pPr>
        <w:ind w:left="1723" w:hanging="720"/>
      </w:pPr>
    </w:lvl>
    <w:lvl w:ilvl="2" w:tplc="0C09001B">
      <w:start w:val="1"/>
      <w:numFmt w:val="lowerRoman"/>
      <w:lvlText w:val="%3."/>
      <w:lvlJc w:val="right"/>
      <w:pPr>
        <w:ind w:left="2083" w:hanging="180"/>
      </w:pPr>
    </w:lvl>
    <w:lvl w:ilvl="3" w:tplc="0C09000F">
      <w:start w:val="1"/>
      <w:numFmt w:val="decimal"/>
      <w:lvlText w:val="%4."/>
      <w:lvlJc w:val="left"/>
      <w:pPr>
        <w:ind w:left="2803" w:hanging="360"/>
      </w:pPr>
    </w:lvl>
    <w:lvl w:ilvl="4" w:tplc="0C090019">
      <w:start w:val="1"/>
      <w:numFmt w:val="lowerLetter"/>
      <w:lvlText w:val="%5."/>
      <w:lvlJc w:val="left"/>
      <w:pPr>
        <w:ind w:left="3523" w:hanging="360"/>
      </w:pPr>
    </w:lvl>
    <w:lvl w:ilvl="5" w:tplc="0C09001B">
      <w:start w:val="1"/>
      <w:numFmt w:val="lowerRoman"/>
      <w:lvlText w:val="%6."/>
      <w:lvlJc w:val="right"/>
      <w:pPr>
        <w:ind w:left="4243" w:hanging="180"/>
      </w:pPr>
    </w:lvl>
    <w:lvl w:ilvl="6" w:tplc="0C09000F">
      <w:start w:val="1"/>
      <w:numFmt w:val="decimal"/>
      <w:lvlText w:val="%7."/>
      <w:lvlJc w:val="left"/>
      <w:pPr>
        <w:ind w:left="4963" w:hanging="360"/>
      </w:pPr>
    </w:lvl>
    <w:lvl w:ilvl="7" w:tplc="0C090019">
      <w:start w:val="1"/>
      <w:numFmt w:val="lowerLetter"/>
      <w:lvlText w:val="%8."/>
      <w:lvlJc w:val="left"/>
      <w:pPr>
        <w:ind w:left="5683" w:hanging="360"/>
      </w:pPr>
    </w:lvl>
    <w:lvl w:ilvl="8" w:tplc="0C09001B">
      <w:start w:val="1"/>
      <w:numFmt w:val="lowerRoman"/>
      <w:lvlText w:val="%9."/>
      <w:lvlJc w:val="right"/>
      <w:pPr>
        <w:ind w:left="6403" w:hanging="180"/>
      </w:pPr>
    </w:lvl>
  </w:abstractNum>
  <w:abstractNum w:abstractNumId="14">
    <w:nsid w:val="7FCB55E5"/>
    <w:multiLevelType w:val="multilevel"/>
    <w:tmpl w:val="06903CC4"/>
    <w:lvl w:ilvl="0">
      <w:start w:val="1"/>
      <w:numFmt w:val="bullet"/>
      <w:lvlText w:val="–"/>
      <w:lvlJc w:val="left"/>
      <w:pPr>
        <w:ind w:left="907" w:hanging="283"/>
      </w:pPr>
      <w:rPr>
        <w:rFonts w:ascii="Arial" w:hAnsi="Arial" w:hint="default"/>
        <w:b/>
        <w:bCs/>
        <w:i w:val="0"/>
        <w:iCs w:val="0"/>
        <w:color w:val="005677"/>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12"/>
  </w:num>
  <w:num w:numId="5">
    <w:abstractNumId w:val="6"/>
  </w:num>
  <w:num w:numId="6">
    <w:abstractNumId w:val="9"/>
  </w:num>
  <w:num w:numId="7">
    <w:abstractNumId w:val="8"/>
  </w:num>
  <w:num w:numId="8">
    <w:abstractNumId w:val="5"/>
  </w:num>
  <w:num w:numId="9">
    <w:abstractNumId w:val="0"/>
  </w:num>
  <w:num w:numId="10">
    <w:abstractNumId w:val="14"/>
  </w:num>
  <w:num w:numId="11">
    <w:abstractNumId w:val="2"/>
  </w:num>
  <w:num w:numId="12">
    <w:abstractNumId w:val="3"/>
  </w:num>
  <w:num w:numId="13">
    <w:abstractNumId w:val="1"/>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IKnbdCKBo0+0wMtZY1Li+KR2g6M=" w:salt="SnURjfaK26YbJQmD0XdKtg=="/>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A75"/>
    <w:rsid w:val="00024F5A"/>
    <w:rsid w:val="00033BF5"/>
    <w:rsid w:val="00041E0F"/>
    <w:rsid w:val="00062999"/>
    <w:rsid w:val="000C2555"/>
    <w:rsid w:val="0015649E"/>
    <w:rsid w:val="00193EA0"/>
    <w:rsid w:val="001A7D35"/>
    <w:rsid w:val="001E3C77"/>
    <w:rsid w:val="001E7B1C"/>
    <w:rsid w:val="00212545"/>
    <w:rsid w:val="00256DE9"/>
    <w:rsid w:val="002864C3"/>
    <w:rsid w:val="00300448"/>
    <w:rsid w:val="00300FE6"/>
    <w:rsid w:val="00311035"/>
    <w:rsid w:val="00322D0B"/>
    <w:rsid w:val="00334319"/>
    <w:rsid w:val="00356508"/>
    <w:rsid w:val="00402753"/>
    <w:rsid w:val="0040597F"/>
    <w:rsid w:val="0043532E"/>
    <w:rsid w:val="004453C7"/>
    <w:rsid w:val="00453480"/>
    <w:rsid w:val="00462496"/>
    <w:rsid w:val="0048325C"/>
    <w:rsid w:val="0049156A"/>
    <w:rsid w:val="004A3319"/>
    <w:rsid w:val="004B7148"/>
    <w:rsid w:val="004D2274"/>
    <w:rsid w:val="004E6574"/>
    <w:rsid w:val="00533FE7"/>
    <w:rsid w:val="00536EFB"/>
    <w:rsid w:val="00577459"/>
    <w:rsid w:val="00582A44"/>
    <w:rsid w:val="00586D35"/>
    <w:rsid w:val="00587CD9"/>
    <w:rsid w:val="005D5E76"/>
    <w:rsid w:val="005E422B"/>
    <w:rsid w:val="006179B7"/>
    <w:rsid w:val="006519B2"/>
    <w:rsid w:val="00655276"/>
    <w:rsid w:val="006859D8"/>
    <w:rsid w:val="006C63F7"/>
    <w:rsid w:val="006D47E2"/>
    <w:rsid w:val="0071378B"/>
    <w:rsid w:val="00717968"/>
    <w:rsid w:val="00742D13"/>
    <w:rsid w:val="00772A33"/>
    <w:rsid w:val="00786840"/>
    <w:rsid w:val="007A0DA4"/>
    <w:rsid w:val="007D149D"/>
    <w:rsid w:val="007E390B"/>
    <w:rsid w:val="008106CD"/>
    <w:rsid w:val="008A34B7"/>
    <w:rsid w:val="008C7290"/>
    <w:rsid w:val="008E1CF7"/>
    <w:rsid w:val="008E7011"/>
    <w:rsid w:val="008F1F73"/>
    <w:rsid w:val="009274C1"/>
    <w:rsid w:val="00995A19"/>
    <w:rsid w:val="009C764B"/>
    <w:rsid w:val="009F3DC8"/>
    <w:rsid w:val="00A236C6"/>
    <w:rsid w:val="00A47593"/>
    <w:rsid w:val="00A5443E"/>
    <w:rsid w:val="00AB0662"/>
    <w:rsid w:val="00AB36B8"/>
    <w:rsid w:val="00AE1671"/>
    <w:rsid w:val="00AE7EA0"/>
    <w:rsid w:val="00AF068A"/>
    <w:rsid w:val="00B0311E"/>
    <w:rsid w:val="00B1482F"/>
    <w:rsid w:val="00B22BCA"/>
    <w:rsid w:val="00B23C43"/>
    <w:rsid w:val="00B25062"/>
    <w:rsid w:val="00B276DB"/>
    <w:rsid w:val="00B67085"/>
    <w:rsid w:val="00BA5E82"/>
    <w:rsid w:val="00C140DE"/>
    <w:rsid w:val="00C57BB9"/>
    <w:rsid w:val="00D012BE"/>
    <w:rsid w:val="00D051EC"/>
    <w:rsid w:val="00D10C42"/>
    <w:rsid w:val="00D83C95"/>
    <w:rsid w:val="00D91F7B"/>
    <w:rsid w:val="00DA34EE"/>
    <w:rsid w:val="00DC5D8B"/>
    <w:rsid w:val="00DD0FF8"/>
    <w:rsid w:val="00DE409D"/>
    <w:rsid w:val="00DF552A"/>
    <w:rsid w:val="00DF5AAD"/>
    <w:rsid w:val="00E421FF"/>
    <w:rsid w:val="00E71EE6"/>
    <w:rsid w:val="00E95B57"/>
    <w:rsid w:val="00E963C3"/>
    <w:rsid w:val="00EB480A"/>
    <w:rsid w:val="00F0234A"/>
    <w:rsid w:val="00F27A75"/>
    <w:rsid w:val="00F50FA8"/>
    <w:rsid w:val="00F91589"/>
    <w:rsid w:val="00F926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lassic 3"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48325C"/>
    <w:pPr>
      <w:spacing w:after="120"/>
    </w:pPr>
    <w:rPr>
      <w:rFonts w:ascii="Arial" w:hAnsi="Arial"/>
      <w:sz w:val="24"/>
      <w:szCs w:val="24"/>
      <w:lang w:val="en-US" w:eastAsia="en-US"/>
    </w:rPr>
  </w:style>
  <w:style w:type="paragraph" w:styleId="Heading1">
    <w:name w:val="heading 1"/>
    <w:basedOn w:val="Normal"/>
    <w:next w:val="Normal"/>
    <w:link w:val="Heading1Char"/>
    <w:uiPriority w:val="9"/>
    <w:qFormat/>
    <w:rsid w:val="0048325C"/>
    <w:pPr>
      <w:keepNext/>
      <w:keepLines/>
      <w:spacing w:before="480" w:after="480"/>
      <w:outlineLvl w:val="0"/>
    </w:pPr>
    <w:rPr>
      <w:rFonts w:eastAsia="MS Gothic"/>
      <w:b/>
      <w:bCs/>
      <w:sz w:val="40"/>
      <w:szCs w:val="32"/>
    </w:rPr>
  </w:style>
  <w:style w:type="paragraph" w:styleId="Heading2">
    <w:name w:val="heading 2"/>
    <w:basedOn w:val="Heading1"/>
    <w:next w:val="Normal"/>
    <w:link w:val="Heading2Char"/>
    <w:uiPriority w:val="9"/>
    <w:qFormat/>
    <w:rsid w:val="004B7148"/>
    <w:pPr>
      <w:spacing w:before="200" w:after="240"/>
      <w:outlineLvl w:val="1"/>
    </w:pPr>
    <w:rPr>
      <w:b w:val="0"/>
      <w:bCs w:val="0"/>
      <w:color w:val="930623"/>
      <w:sz w:val="32"/>
    </w:rPr>
  </w:style>
  <w:style w:type="paragraph" w:styleId="Heading3">
    <w:name w:val="heading 3"/>
    <w:basedOn w:val="Normal"/>
    <w:next w:val="Normal"/>
    <w:link w:val="Heading3Char"/>
    <w:uiPriority w:val="9"/>
    <w:qFormat/>
    <w:rsid w:val="007A0DA4"/>
    <w:pPr>
      <w:keepNext/>
      <w:keepLines/>
      <w:spacing w:before="200" w:after="240"/>
      <w:outlineLvl w:val="2"/>
    </w:pPr>
    <w:rPr>
      <w:rFonts w:eastAsia="MS Gothic"/>
      <w:color w:val="442021"/>
      <w:sz w:val="28"/>
      <w:szCs w:val="28"/>
    </w:rPr>
  </w:style>
  <w:style w:type="paragraph" w:styleId="Heading4">
    <w:name w:val="heading 4"/>
    <w:basedOn w:val="Normal"/>
    <w:next w:val="Normal"/>
    <w:link w:val="Heading4Char"/>
    <w:uiPriority w:val="9"/>
    <w:qFormat/>
    <w:rsid w:val="004B7148"/>
    <w:pPr>
      <w:keepNext/>
      <w:keepLines/>
      <w:spacing w:before="200"/>
      <w:outlineLvl w:val="3"/>
    </w:pPr>
    <w:rPr>
      <w:rFonts w:eastAsia="MS Gothic"/>
      <w:i/>
      <w:iCs/>
      <w:color w:val="930623"/>
    </w:rPr>
  </w:style>
  <w:style w:type="paragraph" w:styleId="Heading5">
    <w:name w:val="heading 5"/>
    <w:basedOn w:val="Normal"/>
    <w:next w:val="Normal"/>
    <w:link w:val="Heading5Char"/>
    <w:uiPriority w:val="9"/>
    <w:qFormat/>
    <w:rsid w:val="005D5E76"/>
    <w:pPr>
      <w:keepNext/>
      <w:keepLines/>
      <w:spacing w:before="200"/>
      <w:outlineLvl w:val="4"/>
    </w:pPr>
    <w:rPr>
      <w:rFonts w:eastAsia="MS Gothic"/>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s">
    <w:name w:val="Bullets"/>
    <w:basedOn w:val="Normal"/>
    <w:autoRedefine/>
    <w:qFormat/>
    <w:rsid w:val="004B7148"/>
    <w:pPr>
      <w:numPr>
        <w:numId w:val="1"/>
      </w:numPr>
      <w:spacing w:after="0" w:line="281" w:lineRule="auto"/>
    </w:pPr>
    <w:rPr>
      <w:szCs w:val="22"/>
    </w:rPr>
  </w:style>
  <w:style w:type="table" w:styleId="TableClassic3">
    <w:name w:val="Table Classic 3"/>
    <w:basedOn w:val="TableNormal"/>
    <w:rsid w:val="00772A33"/>
    <w:pPr>
      <w:spacing w:line="300" w:lineRule="auto"/>
    </w:pPr>
    <w:rPr>
      <w:rFonts w:ascii="Arial" w:eastAsia="Times New Roman" w:hAnsi="Arial"/>
      <w:color w:val="000080"/>
      <w:sz w:val="22"/>
      <w:szCs w:val="22"/>
    </w:rPr>
    <w:tblPr>
      <w:tblBorders>
        <w:top w:val="single" w:sz="4" w:space="0" w:color="005677"/>
        <w:bottom w:val="single" w:sz="4" w:space="0" w:color="005677"/>
        <w:insideH w:val="single" w:sz="4" w:space="0" w:color="005677"/>
      </w:tblBorders>
    </w:tblPr>
    <w:tcPr>
      <w:shd w:val="clear" w:color="C0C0C0" w:fill="auto"/>
    </w:tcPr>
    <w:tblStylePr w:type="firstRow">
      <w:rPr>
        <w:rFonts w:ascii="Courier New" w:hAnsi="Courier New"/>
        <w:b/>
        <w:bCs/>
        <w:i w:val="0"/>
        <w:iCs/>
        <w:color w:val="FFFFFF"/>
        <w:sz w:val="22"/>
      </w:rPr>
      <w:tblPr/>
      <w:tcPr>
        <w:tcBorders>
          <w:top w:val="nil"/>
          <w:bottom w:val="nil"/>
        </w:tcBorders>
        <w:shd w:val="clear" w:color="C0C0C0" w:fill="3A87AE"/>
      </w:tcPr>
    </w:tblStylePr>
    <w:tblStylePr w:type="lastRow">
      <w:rPr>
        <w:rFonts w:ascii="Courier New" w:hAnsi="Courier New"/>
        <w:b/>
        <w:i w:val="0"/>
        <w:color w:val="auto"/>
        <w:sz w:val="24"/>
      </w:rPr>
      <w:tblPr/>
      <w:tcPr>
        <w:tcBorders>
          <w:top w:val="single" w:sz="12" w:space="0" w:color="000000"/>
        </w:tcBorders>
        <w:shd w:val="solid" w:color="FFFFFF" w:fill="FFFFFF"/>
      </w:tcPr>
    </w:tblStylePr>
    <w:tblStylePr w:type="firstCol">
      <w:rPr>
        <w:b/>
        <w:bCs/>
        <w:color w:val="000000"/>
      </w:rPr>
    </w:tblStylePr>
  </w:style>
  <w:style w:type="paragraph" w:styleId="BalloonText">
    <w:name w:val="Balloon Text"/>
    <w:basedOn w:val="Normal"/>
    <w:link w:val="BalloonTextChar"/>
    <w:uiPriority w:val="99"/>
    <w:semiHidden/>
    <w:unhideWhenUsed/>
    <w:rsid w:val="00786840"/>
    <w:rPr>
      <w:rFonts w:ascii="Lucida Grande" w:hAnsi="Lucida Grande" w:cs="Lucida Grande"/>
      <w:sz w:val="18"/>
      <w:szCs w:val="18"/>
    </w:rPr>
  </w:style>
  <w:style w:type="character" w:customStyle="1" w:styleId="BalloonTextChar">
    <w:name w:val="Balloon Text Char"/>
    <w:link w:val="BalloonText"/>
    <w:uiPriority w:val="99"/>
    <w:semiHidden/>
    <w:rsid w:val="00786840"/>
    <w:rPr>
      <w:rFonts w:ascii="Lucida Grande" w:hAnsi="Lucida Grande" w:cs="Lucida Grande"/>
      <w:sz w:val="18"/>
      <w:szCs w:val="18"/>
    </w:rPr>
  </w:style>
  <w:style w:type="paragraph" w:styleId="Title">
    <w:name w:val="Title"/>
    <w:basedOn w:val="Normal"/>
    <w:next w:val="Normal"/>
    <w:link w:val="TitleChar"/>
    <w:uiPriority w:val="10"/>
    <w:qFormat/>
    <w:rsid w:val="0040597F"/>
    <w:pPr>
      <w:spacing w:before="8640" w:after="480"/>
      <w:contextualSpacing/>
    </w:pPr>
    <w:rPr>
      <w:rFonts w:eastAsia="MS Gothic"/>
      <w:b/>
      <w:spacing w:val="5"/>
      <w:kern w:val="28"/>
      <w:sz w:val="56"/>
      <w:szCs w:val="52"/>
    </w:rPr>
  </w:style>
  <w:style w:type="character" w:customStyle="1" w:styleId="TitleChar">
    <w:name w:val="Title Char"/>
    <w:link w:val="Title"/>
    <w:uiPriority w:val="10"/>
    <w:rsid w:val="0040597F"/>
    <w:rPr>
      <w:rFonts w:ascii="Arial" w:eastAsia="MS Gothic" w:hAnsi="Arial" w:cs="Times New Roman"/>
      <w:b/>
      <w:spacing w:val="5"/>
      <w:kern w:val="28"/>
      <w:sz w:val="56"/>
      <w:szCs w:val="52"/>
    </w:rPr>
  </w:style>
  <w:style w:type="paragraph" w:styleId="Header">
    <w:name w:val="header"/>
    <w:basedOn w:val="Normal"/>
    <w:link w:val="HeaderChar"/>
    <w:uiPriority w:val="99"/>
    <w:unhideWhenUsed/>
    <w:rsid w:val="00786840"/>
    <w:pPr>
      <w:tabs>
        <w:tab w:val="center" w:pos="4320"/>
        <w:tab w:val="right" w:pos="8640"/>
      </w:tabs>
    </w:pPr>
  </w:style>
  <w:style w:type="paragraph" w:customStyle="1" w:styleId="Author">
    <w:name w:val="Author"/>
    <w:basedOn w:val="Normal"/>
    <w:qFormat/>
    <w:rsid w:val="00786840"/>
    <w:pPr>
      <w:spacing w:after="240"/>
      <w:contextualSpacing/>
    </w:pPr>
    <w:rPr>
      <w:color w:val="808080"/>
      <w:sz w:val="44"/>
    </w:rPr>
  </w:style>
  <w:style w:type="paragraph" w:styleId="Date">
    <w:name w:val="Date"/>
    <w:basedOn w:val="Normal"/>
    <w:next w:val="Normal"/>
    <w:link w:val="DateChar"/>
    <w:uiPriority w:val="99"/>
    <w:unhideWhenUsed/>
    <w:rsid w:val="00786840"/>
    <w:rPr>
      <w:color w:val="808080"/>
      <w:sz w:val="34"/>
    </w:rPr>
  </w:style>
  <w:style w:type="character" w:customStyle="1" w:styleId="DateChar">
    <w:name w:val="Date Char"/>
    <w:link w:val="Date"/>
    <w:uiPriority w:val="99"/>
    <w:rsid w:val="00786840"/>
    <w:rPr>
      <w:rFonts w:ascii="Arial" w:hAnsi="Arial"/>
      <w:color w:val="808080"/>
      <w:sz w:val="34"/>
    </w:rPr>
  </w:style>
  <w:style w:type="character" w:customStyle="1" w:styleId="HeaderChar">
    <w:name w:val="Header Char"/>
    <w:link w:val="Header"/>
    <w:uiPriority w:val="99"/>
    <w:rsid w:val="00786840"/>
    <w:rPr>
      <w:rFonts w:ascii="Arial" w:hAnsi="Arial"/>
    </w:rPr>
  </w:style>
  <w:style w:type="paragraph" w:styleId="Footer">
    <w:name w:val="footer"/>
    <w:basedOn w:val="Normal"/>
    <w:link w:val="FooterChar"/>
    <w:uiPriority w:val="99"/>
    <w:unhideWhenUsed/>
    <w:rsid w:val="00786840"/>
    <w:pPr>
      <w:tabs>
        <w:tab w:val="center" w:pos="4320"/>
        <w:tab w:val="right" w:pos="8640"/>
      </w:tabs>
    </w:pPr>
  </w:style>
  <w:style w:type="character" w:customStyle="1" w:styleId="FooterChar">
    <w:name w:val="Footer Char"/>
    <w:link w:val="Footer"/>
    <w:uiPriority w:val="99"/>
    <w:rsid w:val="00786840"/>
    <w:rPr>
      <w:rFonts w:ascii="Arial" w:hAnsi="Arial"/>
    </w:rPr>
  </w:style>
  <w:style w:type="character" w:customStyle="1" w:styleId="Heading1Char">
    <w:name w:val="Heading 1 Char"/>
    <w:link w:val="Heading1"/>
    <w:uiPriority w:val="9"/>
    <w:rsid w:val="0048325C"/>
    <w:rPr>
      <w:rFonts w:ascii="Arial" w:eastAsia="MS Gothic" w:hAnsi="Arial" w:cs="Times New Roman"/>
      <w:b/>
      <w:bCs/>
      <w:sz w:val="40"/>
      <w:szCs w:val="32"/>
    </w:rPr>
  </w:style>
  <w:style w:type="character" w:styleId="PageNumber">
    <w:name w:val="page number"/>
    <w:basedOn w:val="DefaultParagraphFont"/>
    <w:uiPriority w:val="99"/>
    <w:unhideWhenUsed/>
    <w:rsid w:val="0048325C"/>
  </w:style>
  <w:style w:type="paragraph" w:styleId="Caption">
    <w:name w:val="caption"/>
    <w:basedOn w:val="Normal"/>
    <w:next w:val="Normal"/>
    <w:uiPriority w:val="35"/>
    <w:qFormat/>
    <w:rsid w:val="00772A33"/>
    <w:pPr>
      <w:keepNext/>
      <w:spacing w:after="200"/>
    </w:pPr>
    <w:rPr>
      <w:b/>
      <w:bCs/>
      <w:sz w:val="22"/>
      <w:szCs w:val="22"/>
    </w:rPr>
  </w:style>
  <w:style w:type="paragraph" w:customStyle="1" w:styleId="Bullet-2ndlevel">
    <w:name w:val="Bullet - 2nd level"/>
    <w:basedOn w:val="Normal"/>
    <w:qFormat/>
    <w:rsid w:val="007A0DA4"/>
    <w:pPr>
      <w:numPr>
        <w:numId w:val="4"/>
      </w:numPr>
      <w:contextualSpacing/>
    </w:pPr>
  </w:style>
  <w:style w:type="character" w:customStyle="1" w:styleId="Heading2Char">
    <w:name w:val="Heading 2 Char"/>
    <w:link w:val="Heading2"/>
    <w:uiPriority w:val="9"/>
    <w:rsid w:val="004B7148"/>
    <w:rPr>
      <w:rFonts w:ascii="Arial" w:eastAsia="MS Gothic" w:hAnsi="Arial" w:cs="Times New Roman"/>
      <w:color w:val="930623"/>
      <w:sz w:val="32"/>
      <w:szCs w:val="32"/>
    </w:rPr>
  </w:style>
  <w:style w:type="paragraph" w:customStyle="1" w:styleId="TOCHeading1">
    <w:name w:val="TOC Heading1"/>
    <w:basedOn w:val="Heading1"/>
    <w:next w:val="Normal"/>
    <w:uiPriority w:val="39"/>
    <w:unhideWhenUsed/>
    <w:qFormat/>
    <w:rsid w:val="00402753"/>
    <w:pPr>
      <w:spacing w:after="0" w:line="276" w:lineRule="auto"/>
      <w:outlineLvl w:val="9"/>
    </w:pPr>
    <w:rPr>
      <w:b w:val="0"/>
      <w:bCs w:val="0"/>
      <w:color w:val="442021"/>
      <w:sz w:val="36"/>
      <w:szCs w:val="36"/>
    </w:rPr>
  </w:style>
  <w:style w:type="paragraph" w:styleId="TOC1">
    <w:name w:val="toc 1"/>
    <w:basedOn w:val="Normal"/>
    <w:next w:val="Normal"/>
    <w:autoRedefine/>
    <w:uiPriority w:val="39"/>
    <w:unhideWhenUsed/>
    <w:rsid w:val="00772A33"/>
    <w:pPr>
      <w:spacing w:before="120" w:after="0"/>
    </w:pPr>
  </w:style>
  <w:style w:type="paragraph" w:styleId="TOC2">
    <w:name w:val="toc 2"/>
    <w:basedOn w:val="Normal"/>
    <w:next w:val="Normal"/>
    <w:autoRedefine/>
    <w:uiPriority w:val="39"/>
    <w:unhideWhenUsed/>
    <w:rsid w:val="00772A33"/>
    <w:pPr>
      <w:tabs>
        <w:tab w:val="right" w:leader="dot" w:pos="8290"/>
      </w:tabs>
      <w:spacing w:after="0"/>
      <w:ind w:left="240"/>
    </w:pPr>
    <w:rPr>
      <w:sz w:val="22"/>
      <w:szCs w:val="22"/>
    </w:rPr>
  </w:style>
  <w:style w:type="paragraph" w:styleId="TOC3">
    <w:name w:val="toc 3"/>
    <w:basedOn w:val="Normal"/>
    <w:next w:val="Normal"/>
    <w:autoRedefine/>
    <w:uiPriority w:val="39"/>
    <w:unhideWhenUsed/>
    <w:rsid w:val="00B22BCA"/>
    <w:pPr>
      <w:spacing w:after="0"/>
      <w:ind w:left="480"/>
    </w:pPr>
    <w:rPr>
      <w:sz w:val="22"/>
      <w:szCs w:val="22"/>
    </w:rPr>
  </w:style>
  <w:style w:type="paragraph" w:styleId="TOC4">
    <w:name w:val="toc 4"/>
    <w:basedOn w:val="Normal"/>
    <w:next w:val="Normal"/>
    <w:autoRedefine/>
    <w:uiPriority w:val="39"/>
    <w:semiHidden/>
    <w:unhideWhenUsed/>
    <w:rsid w:val="00B22BCA"/>
    <w:pPr>
      <w:spacing w:after="0"/>
      <w:ind w:left="720"/>
    </w:pPr>
    <w:rPr>
      <w:sz w:val="20"/>
      <w:szCs w:val="20"/>
    </w:rPr>
  </w:style>
  <w:style w:type="paragraph" w:styleId="TOC5">
    <w:name w:val="toc 5"/>
    <w:basedOn w:val="Normal"/>
    <w:next w:val="Normal"/>
    <w:autoRedefine/>
    <w:uiPriority w:val="39"/>
    <w:semiHidden/>
    <w:unhideWhenUsed/>
    <w:rsid w:val="00B22BCA"/>
    <w:pPr>
      <w:spacing w:after="0"/>
      <w:ind w:left="960"/>
    </w:pPr>
    <w:rPr>
      <w:sz w:val="20"/>
      <w:szCs w:val="20"/>
    </w:rPr>
  </w:style>
  <w:style w:type="paragraph" w:styleId="TOC6">
    <w:name w:val="toc 6"/>
    <w:basedOn w:val="Normal"/>
    <w:next w:val="Normal"/>
    <w:autoRedefine/>
    <w:uiPriority w:val="39"/>
    <w:semiHidden/>
    <w:unhideWhenUsed/>
    <w:rsid w:val="00B22BCA"/>
    <w:pPr>
      <w:spacing w:after="0"/>
      <w:ind w:left="1200"/>
    </w:pPr>
    <w:rPr>
      <w:sz w:val="20"/>
      <w:szCs w:val="20"/>
    </w:rPr>
  </w:style>
  <w:style w:type="paragraph" w:styleId="TOC7">
    <w:name w:val="toc 7"/>
    <w:basedOn w:val="Normal"/>
    <w:next w:val="Normal"/>
    <w:autoRedefine/>
    <w:uiPriority w:val="39"/>
    <w:semiHidden/>
    <w:unhideWhenUsed/>
    <w:rsid w:val="00B22BCA"/>
    <w:pPr>
      <w:spacing w:after="0"/>
      <w:ind w:left="1440"/>
    </w:pPr>
    <w:rPr>
      <w:sz w:val="20"/>
      <w:szCs w:val="20"/>
    </w:rPr>
  </w:style>
  <w:style w:type="paragraph" w:styleId="TOC8">
    <w:name w:val="toc 8"/>
    <w:basedOn w:val="Normal"/>
    <w:next w:val="Normal"/>
    <w:autoRedefine/>
    <w:uiPriority w:val="39"/>
    <w:semiHidden/>
    <w:unhideWhenUsed/>
    <w:rsid w:val="00B22BCA"/>
    <w:pPr>
      <w:spacing w:after="0"/>
      <w:ind w:left="1680"/>
    </w:pPr>
    <w:rPr>
      <w:sz w:val="20"/>
      <w:szCs w:val="20"/>
    </w:rPr>
  </w:style>
  <w:style w:type="paragraph" w:styleId="TOC9">
    <w:name w:val="toc 9"/>
    <w:basedOn w:val="Normal"/>
    <w:next w:val="Normal"/>
    <w:autoRedefine/>
    <w:uiPriority w:val="39"/>
    <w:semiHidden/>
    <w:unhideWhenUsed/>
    <w:rsid w:val="00B22BCA"/>
    <w:pPr>
      <w:spacing w:after="0"/>
      <w:ind w:left="1920"/>
    </w:pPr>
    <w:rPr>
      <w:sz w:val="20"/>
      <w:szCs w:val="20"/>
    </w:rPr>
  </w:style>
  <w:style w:type="character" w:customStyle="1" w:styleId="Heading3Char">
    <w:name w:val="Heading 3 Char"/>
    <w:link w:val="Heading3"/>
    <w:uiPriority w:val="9"/>
    <w:rsid w:val="007A0DA4"/>
    <w:rPr>
      <w:rFonts w:ascii="Arial" w:eastAsia="MS Gothic" w:hAnsi="Arial" w:cs="Times New Roman"/>
      <w:color w:val="442021"/>
      <w:sz w:val="28"/>
      <w:szCs w:val="28"/>
    </w:rPr>
  </w:style>
  <w:style w:type="character" w:customStyle="1" w:styleId="Heading4Char">
    <w:name w:val="Heading 4 Char"/>
    <w:link w:val="Heading4"/>
    <w:uiPriority w:val="9"/>
    <w:rsid w:val="004B7148"/>
    <w:rPr>
      <w:rFonts w:ascii="Arial" w:eastAsia="MS Gothic" w:hAnsi="Arial" w:cs="Times New Roman"/>
      <w:i/>
      <w:iCs/>
      <w:color w:val="930623"/>
    </w:rPr>
  </w:style>
  <w:style w:type="table" w:styleId="TableGrid">
    <w:name w:val="Table Grid"/>
    <w:basedOn w:val="TableNormal"/>
    <w:uiPriority w:val="59"/>
    <w:rsid w:val="00EB4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uiPriority w:val="9"/>
    <w:rsid w:val="005D5E76"/>
    <w:rPr>
      <w:rFonts w:ascii="Arial" w:eastAsia="MS Gothic" w:hAnsi="Arial" w:cs="Times New Roman"/>
      <w:b/>
    </w:rPr>
  </w:style>
  <w:style w:type="character" w:styleId="Hyperlink">
    <w:name w:val="Hyperlink"/>
    <w:uiPriority w:val="99"/>
    <w:unhideWhenUsed/>
    <w:rsid w:val="00DD0FF8"/>
    <w:rPr>
      <w:color w:val="0000FF"/>
      <w:u w:val="single"/>
    </w:rPr>
  </w:style>
  <w:style w:type="paragraph" w:customStyle="1" w:styleId="Credit">
    <w:name w:val="Credit"/>
    <w:basedOn w:val="Normal"/>
    <w:qFormat/>
    <w:rsid w:val="00772A33"/>
    <w:rPr>
      <w:sz w:val="18"/>
      <w:szCs w:val="18"/>
    </w:rPr>
  </w:style>
  <w:style w:type="paragraph" w:customStyle="1" w:styleId="ColorfulGrid-Accent11">
    <w:name w:val="Colorful Grid - Accent 11"/>
    <w:basedOn w:val="Normal"/>
    <w:next w:val="Normal"/>
    <w:link w:val="ColorfulGrid-Accent1Char"/>
    <w:uiPriority w:val="29"/>
    <w:qFormat/>
    <w:rsid w:val="007A0DA4"/>
    <w:pPr>
      <w:pBdr>
        <w:top w:val="single" w:sz="4" w:space="3" w:color="61C6C6"/>
        <w:bottom w:val="single" w:sz="4" w:space="2" w:color="61C6C6"/>
      </w:pBdr>
    </w:pPr>
    <w:rPr>
      <w:i/>
      <w:iCs/>
      <w:lang w:val="en-GB"/>
    </w:rPr>
  </w:style>
  <w:style w:type="character" w:customStyle="1" w:styleId="ColorfulGrid-Accent1Char">
    <w:name w:val="Colorful Grid - Accent 1 Char"/>
    <w:link w:val="ColorfulGrid-Accent11"/>
    <w:uiPriority w:val="29"/>
    <w:rsid w:val="007A0DA4"/>
    <w:rPr>
      <w:rFonts w:ascii="Arial" w:hAnsi="Arial"/>
      <w:i/>
      <w:iCs/>
      <w:lang w:val="en-GB"/>
    </w:rPr>
  </w:style>
  <w:style w:type="paragraph" w:styleId="Subtitle">
    <w:name w:val="Subtitle"/>
    <w:basedOn w:val="Normal"/>
    <w:next w:val="Normal"/>
    <w:link w:val="SubtitleChar"/>
    <w:uiPriority w:val="11"/>
    <w:qFormat/>
    <w:rsid w:val="00402753"/>
    <w:pPr>
      <w:numPr>
        <w:ilvl w:val="1"/>
      </w:numPr>
    </w:pPr>
    <w:rPr>
      <w:rFonts w:ascii="Calibri" w:eastAsia="MS Gothic" w:hAnsi="Calibri"/>
      <w:i/>
      <w:iCs/>
      <w:color w:val="930623"/>
      <w:spacing w:val="15"/>
    </w:rPr>
  </w:style>
  <w:style w:type="character" w:customStyle="1" w:styleId="SubtitleChar">
    <w:name w:val="Subtitle Char"/>
    <w:link w:val="Subtitle"/>
    <w:uiPriority w:val="11"/>
    <w:rsid w:val="00402753"/>
    <w:rPr>
      <w:rFonts w:ascii="Calibri" w:eastAsia="MS Gothic" w:hAnsi="Calibri" w:cs="Times New Roman"/>
      <w:i/>
      <w:iCs/>
      <w:color w:val="930623"/>
      <w:spacing w:val="15"/>
    </w:rPr>
  </w:style>
  <w:style w:type="character" w:customStyle="1" w:styleId="IntenseEmphasis1">
    <w:name w:val="Intense Emphasis1"/>
    <w:uiPriority w:val="21"/>
    <w:qFormat/>
    <w:rsid w:val="00402753"/>
    <w:rPr>
      <w:b/>
      <w:bCs/>
      <w:i/>
      <w:iCs/>
      <w:color w:val="7F001A"/>
    </w:rPr>
  </w:style>
  <w:style w:type="paragraph" w:customStyle="1" w:styleId="LightShading-Accent21">
    <w:name w:val="Light Shading - Accent 21"/>
    <w:basedOn w:val="Normal"/>
    <w:next w:val="Normal"/>
    <w:link w:val="LightShading-Accent2Char"/>
    <w:uiPriority w:val="30"/>
    <w:qFormat/>
    <w:rsid w:val="00402753"/>
    <w:pPr>
      <w:pBdr>
        <w:bottom w:val="single" w:sz="4" w:space="4" w:color="005677"/>
      </w:pBdr>
      <w:spacing w:before="200" w:after="280"/>
      <w:ind w:left="936" w:right="936"/>
    </w:pPr>
    <w:rPr>
      <w:b/>
      <w:bCs/>
      <w:i/>
      <w:iCs/>
      <w:color w:val="7F001A"/>
    </w:rPr>
  </w:style>
  <w:style w:type="character" w:customStyle="1" w:styleId="LightShading-Accent2Char">
    <w:name w:val="Light Shading - Accent 2 Char"/>
    <w:link w:val="LightShading-Accent21"/>
    <w:uiPriority w:val="30"/>
    <w:rsid w:val="00402753"/>
    <w:rPr>
      <w:rFonts w:ascii="Arial" w:hAnsi="Arial"/>
      <w:b/>
      <w:bCs/>
      <w:i/>
      <w:iCs/>
      <w:color w:val="7F001A"/>
    </w:rPr>
  </w:style>
  <w:style w:type="character" w:styleId="CommentReference">
    <w:name w:val="annotation reference"/>
    <w:basedOn w:val="DefaultParagraphFont"/>
    <w:uiPriority w:val="99"/>
    <w:semiHidden/>
    <w:unhideWhenUsed/>
    <w:rsid w:val="00577459"/>
    <w:rPr>
      <w:sz w:val="16"/>
      <w:szCs w:val="16"/>
    </w:rPr>
  </w:style>
  <w:style w:type="paragraph" w:styleId="CommentText">
    <w:name w:val="annotation text"/>
    <w:basedOn w:val="Normal"/>
    <w:link w:val="CommentTextChar"/>
    <w:uiPriority w:val="99"/>
    <w:semiHidden/>
    <w:unhideWhenUsed/>
    <w:rsid w:val="00577459"/>
    <w:rPr>
      <w:sz w:val="20"/>
      <w:szCs w:val="20"/>
    </w:rPr>
  </w:style>
  <w:style w:type="character" w:customStyle="1" w:styleId="CommentTextChar">
    <w:name w:val="Comment Text Char"/>
    <w:basedOn w:val="DefaultParagraphFont"/>
    <w:link w:val="CommentText"/>
    <w:uiPriority w:val="99"/>
    <w:semiHidden/>
    <w:rsid w:val="00577459"/>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577459"/>
    <w:rPr>
      <w:b/>
      <w:bCs/>
    </w:rPr>
  </w:style>
  <w:style w:type="character" w:customStyle="1" w:styleId="CommentSubjectChar">
    <w:name w:val="Comment Subject Char"/>
    <w:basedOn w:val="CommentTextChar"/>
    <w:link w:val="CommentSubject"/>
    <w:uiPriority w:val="99"/>
    <w:semiHidden/>
    <w:rsid w:val="00577459"/>
    <w:rPr>
      <w:rFonts w:ascii="Arial" w:hAnsi="Arial"/>
      <w:b/>
      <w:bCs/>
      <w:lang w:val="en-US" w:eastAsia="en-US"/>
    </w:rPr>
  </w:style>
  <w:style w:type="paragraph" w:styleId="ListParagraph">
    <w:name w:val="List Paragraph"/>
    <w:basedOn w:val="Normal"/>
    <w:uiPriority w:val="34"/>
    <w:qFormat/>
    <w:rsid w:val="00E95B57"/>
    <w:pPr>
      <w:ind w:left="720"/>
      <w:contextualSpacing/>
    </w:pPr>
  </w:style>
  <w:style w:type="paragraph" w:styleId="FootnoteText">
    <w:name w:val="footnote text"/>
    <w:basedOn w:val="Normal"/>
    <w:link w:val="FootnoteTextChar"/>
    <w:semiHidden/>
    <w:rsid w:val="00E95B57"/>
    <w:pPr>
      <w:spacing w:before="120" w:line="276" w:lineRule="auto"/>
    </w:pPr>
    <w:rPr>
      <w:rFonts w:eastAsiaTheme="minorHAnsi" w:cstheme="minorBidi"/>
      <w:sz w:val="22"/>
      <w:szCs w:val="22"/>
      <w:lang w:val="en-AU"/>
    </w:rPr>
  </w:style>
  <w:style w:type="character" w:customStyle="1" w:styleId="FootnoteTextChar">
    <w:name w:val="Footnote Text Char"/>
    <w:basedOn w:val="DefaultParagraphFont"/>
    <w:link w:val="FootnoteText"/>
    <w:semiHidden/>
    <w:rsid w:val="00E95B57"/>
    <w:rPr>
      <w:rFonts w:ascii="Arial" w:eastAsiaTheme="minorHAnsi" w:hAnsi="Arial" w:cstheme="minorBidi"/>
      <w:sz w:val="22"/>
      <w:szCs w:val="22"/>
      <w:lang w:eastAsia="en-US"/>
    </w:rPr>
  </w:style>
  <w:style w:type="character" w:styleId="FootnoteReference">
    <w:name w:val="footnote reference"/>
    <w:semiHidden/>
    <w:rsid w:val="00E95B57"/>
    <w:rPr>
      <w:vertAlign w:val="superscript"/>
    </w:rPr>
  </w:style>
  <w:style w:type="paragraph" w:styleId="EndnoteText">
    <w:name w:val="endnote text"/>
    <w:basedOn w:val="Normal"/>
    <w:link w:val="EndnoteTextChar"/>
    <w:uiPriority w:val="99"/>
    <w:semiHidden/>
    <w:unhideWhenUsed/>
    <w:rsid w:val="00453480"/>
    <w:pPr>
      <w:spacing w:after="0"/>
    </w:pPr>
    <w:rPr>
      <w:sz w:val="20"/>
      <w:szCs w:val="20"/>
    </w:rPr>
  </w:style>
  <w:style w:type="character" w:customStyle="1" w:styleId="EndnoteTextChar">
    <w:name w:val="Endnote Text Char"/>
    <w:basedOn w:val="DefaultParagraphFont"/>
    <w:link w:val="EndnoteText"/>
    <w:uiPriority w:val="99"/>
    <w:semiHidden/>
    <w:rsid w:val="00453480"/>
    <w:rPr>
      <w:rFonts w:ascii="Arial" w:hAnsi="Arial"/>
      <w:lang w:val="en-US" w:eastAsia="en-US"/>
    </w:rPr>
  </w:style>
  <w:style w:type="character" w:styleId="EndnoteReference">
    <w:name w:val="endnote reference"/>
    <w:basedOn w:val="DefaultParagraphFont"/>
    <w:uiPriority w:val="99"/>
    <w:semiHidden/>
    <w:unhideWhenUsed/>
    <w:rsid w:val="00453480"/>
    <w:rPr>
      <w:vertAlign w:val="superscript"/>
    </w:rPr>
  </w:style>
  <w:style w:type="paragraph" w:styleId="Revision">
    <w:name w:val="Revision"/>
    <w:hidden/>
    <w:uiPriority w:val="71"/>
    <w:rsid w:val="0071378B"/>
    <w:rPr>
      <w:rFonts w:ascii="Arial" w:hAnsi="Arial"/>
      <w:sz w:val="24"/>
      <w:szCs w:val="24"/>
      <w:lang w:val="en-US" w:eastAsia="en-US"/>
    </w:rPr>
  </w:style>
  <w:style w:type="character" w:styleId="FollowedHyperlink">
    <w:name w:val="FollowedHyperlink"/>
    <w:basedOn w:val="DefaultParagraphFont"/>
    <w:uiPriority w:val="99"/>
    <w:semiHidden/>
    <w:unhideWhenUsed/>
    <w:rsid w:val="00F0234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lassic 3"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48325C"/>
    <w:pPr>
      <w:spacing w:after="120"/>
    </w:pPr>
    <w:rPr>
      <w:rFonts w:ascii="Arial" w:hAnsi="Arial"/>
      <w:sz w:val="24"/>
      <w:szCs w:val="24"/>
      <w:lang w:val="en-US" w:eastAsia="en-US"/>
    </w:rPr>
  </w:style>
  <w:style w:type="paragraph" w:styleId="Heading1">
    <w:name w:val="heading 1"/>
    <w:basedOn w:val="Normal"/>
    <w:next w:val="Normal"/>
    <w:link w:val="Heading1Char"/>
    <w:uiPriority w:val="9"/>
    <w:qFormat/>
    <w:rsid w:val="0048325C"/>
    <w:pPr>
      <w:keepNext/>
      <w:keepLines/>
      <w:spacing w:before="480" w:after="480"/>
      <w:outlineLvl w:val="0"/>
    </w:pPr>
    <w:rPr>
      <w:rFonts w:eastAsia="MS Gothic"/>
      <w:b/>
      <w:bCs/>
      <w:sz w:val="40"/>
      <w:szCs w:val="32"/>
    </w:rPr>
  </w:style>
  <w:style w:type="paragraph" w:styleId="Heading2">
    <w:name w:val="heading 2"/>
    <w:basedOn w:val="Heading1"/>
    <w:next w:val="Normal"/>
    <w:link w:val="Heading2Char"/>
    <w:uiPriority w:val="9"/>
    <w:qFormat/>
    <w:rsid w:val="004B7148"/>
    <w:pPr>
      <w:spacing w:before="200" w:after="240"/>
      <w:outlineLvl w:val="1"/>
    </w:pPr>
    <w:rPr>
      <w:b w:val="0"/>
      <w:bCs w:val="0"/>
      <w:color w:val="930623"/>
      <w:sz w:val="32"/>
    </w:rPr>
  </w:style>
  <w:style w:type="paragraph" w:styleId="Heading3">
    <w:name w:val="heading 3"/>
    <w:basedOn w:val="Normal"/>
    <w:next w:val="Normal"/>
    <w:link w:val="Heading3Char"/>
    <w:uiPriority w:val="9"/>
    <w:qFormat/>
    <w:rsid w:val="007A0DA4"/>
    <w:pPr>
      <w:keepNext/>
      <w:keepLines/>
      <w:spacing w:before="200" w:after="240"/>
      <w:outlineLvl w:val="2"/>
    </w:pPr>
    <w:rPr>
      <w:rFonts w:eastAsia="MS Gothic"/>
      <w:color w:val="442021"/>
      <w:sz w:val="28"/>
      <w:szCs w:val="28"/>
    </w:rPr>
  </w:style>
  <w:style w:type="paragraph" w:styleId="Heading4">
    <w:name w:val="heading 4"/>
    <w:basedOn w:val="Normal"/>
    <w:next w:val="Normal"/>
    <w:link w:val="Heading4Char"/>
    <w:uiPriority w:val="9"/>
    <w:qFormat/>
    <w:rsid w:val="004B7148"/>
    <w:pPr>
      <w:keepNext/>
      <w:keepLines/>
      <w:spacing w:before="200"/>
      <w:outlineLvl w:val="3"/>
    </w:pPr>
    <w:rPr>
      <w:rFonts w:eastAsia="MS Gothic"/>
      <w:i/>
      <w:iCs/>
      <w:color w:val="930623"/>
    </w:rPr>
  </w:style>
  <w:style w:type="paragraph" w:styleId="Heading5">
    <w:name w:val="heading 5"/>
    <w:basedOn w:val="Normal"/>
    <w:next w:val="Normal"/>
    <w:link w:val="Heading5Char"/>
    <w:uiPriority w:val="9"/>
    <w:qFormat/>
    <w:rsid w:val="005D5E76"/>
    <w:pPr>
      <w:keepNext/>
      <w:keepLines/>
      <w:spacing w:before="200"/>
      <w:outlineLvl w:val="4"/>
    </w:pPr>
    <w:rPr>
      <w:rFonts w:eastAsia="MS Gothic"/>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s">
    <w:name w:val="Bullets"/>
    <w:basedOn w:val="Normal"/>
    <w:autoRedefine/>
    <w:qFormat/>
    <w:rsid w:val="004B7148"/>
    <w:pPr>
      <w:numPr>
        <w:numId w:val="1"/>
      </w:numPr>
      <w:spacing w:after="0" w:line="281" w:lineRule="auto"/>
    </w:pPr>
    <w:rPr>
      <w:szCs w:val="22"/>
    </w:rPr>
  </w:style>
  <w:style w:type="table" w:styleId="TableClassic3">
    <w:name w:val="Table Classic 3"/>
    <w:basedOn w:val="TableNormal"/>
    <w:rsid w:val="00772A33"/>
    <w:pPr>
      <w:spacing w:line="300" w:lineRule="auto"/>
    </w:pPr>
    <w:rPr>
      <w:rFonts w:ascii="Arial" w:eastAsia="Times New Roman" w:hAnsi="Arial"/>
      <w:color w:val="000080"/>
      <w:sz w:val="22"/>
      <w:szCs w:val="22"/>
    </w:rPr>
    <w:tblPr>
      <w:tblBorders>
        <w:top w:val="single" w:sz="4" w:space="0" w:color="005677"/>
        <w:bottom w:val="single" w:sz="4" w:space="0" w:color="005677"/>
        <w:insideH w:val="single" w:sz="4" w:space="0" w:color="005677"/>
      </w:tblBorders>
    </w:tblPr>
    <w:tcPr>
      <w:shd w:val="clear" w:color="C0C0C0" w:fill="auto"/>
    </w:tcPr>
    <w:tblStylePr w:type="firstRow">
      <w:rPr>
        <w:rFonts w:ascii="Courier New" w:hAnsi="Courier New"/>
        <w:b/>
        <w:bCs/>
        <w:i w:val="0"/>
        <w:iCs/>
        <w:color w:val="FFFFFF"/>
        <w:sz w:val="22"/>
      </w:rPr>
      <w:tblPr/>
      <w:tcPr>
        <w:tcBorders>
          <w:top w:val="nil"/>
          <w:bottom w:val="nil"/>
        </w:tcBorders>
        <w:shd w:val="clear" w:color="C0C0C0" w:fill="3A87AE"/>
      </w:tcPr>
    </w:tblStylePr>
    <w:tblStylePr w:type="lastRow">
      <w:rPr>
        <w:rFonts w:ascii="Courier New" w:hAnsi="Courier New"/>
        <w:b/>
        <w:i w:val="0"/>
        <w:color w:val="auto"/>
        <w:sz w:val="24"/>
      </w:rPr>
      <w:tblPr/>
      <w:tcPr>
        <w:tcBorders>
          <w:top w:val="single" w:sz="12" w:space="0" w:color="000000"/>
        </w:tcBorders>
        <w:shd w:val="solid" w:color="FFFFFF" w:fill="FFFFFF"/>
      </w:tcPr>
    </w:tblStylePr>
    <w:tblStylePr w:type="firstCol">
      <w:rPr>
        <w:b/>
        <w:bCs/>
        <w:color w:val="000000"/>
      </w:rPr>
    </w:tblStylePr>
  </w:style>
  <w:style w:type="paragraph" w:styleId="BalloonText">
    <w:name w:val="Balloon Text"/>
    <w:basedOn w:val="Normal"/>
    <w:link w:val="BalloonTextChar"/>
    <w:uiPriority w:val="99"/>
    <w:semiHidden/>
    <w:unhideWhenUsed/>
    <w:rsid w:val="00786840"/>
    <w:rPr>
      <w:rFonts w:ascii="Lucida Grande" w:hAnsi="Lucida Grande" w:cs="Lucida Grande"/>
      <w:sz w:val="18"/>
      <w:szCs w:val="18"/>
    </w:rPr>
  </w:style>
  <w:style w:type="character" w:customStyle="1" w:styleId="BalloonTextChar">
    <w:name w:val="Balloon Text Char"/>
    <w:link w:val="BalloonText"/>
    <w:uiPriority w:val="99"/>
    <w:semiHidden/>
    <w:rsid w:val="00786840"/>
    <w:rPr>
      <w:rFonts w:ascii="Lucida Grande" w:hAnsi="Lucida Grande" w:cs="Lucida Grande"/>
      <w:sz w:val="18"/>
      <w:szCs w:val="18"/>
    </w:rPr>
  </w:style>
  <w:style w:type="paragraph" w:styleId="Title">
    <w:name w:val="Title"/>
    <w:basedOn w:val="Normal"/>
    <w:next w:val="Normal"/>
    <w:link w:val="TitleChar"/>
    <w:uiPriority w:val="10"/>
    <w:qFormat/>
    <w:rsid w:val="0040597F"/>
    <w:pPr>
      <w:spacing w:before="8640" w:after="480"/>
      <w:contextualSpacing/>
    </w:pPr>
    <w:rPr>
      <w:rFonts w:eastAsia="MS Gothic"/>
      <w:b/>
      <w:spacing w:val="5"/>
      <w:kern w:val="28"/>
      <w:sz w:val="56"/>
      <w:szCs w:val="52"/>
    </w:rPr>
  </w:style>
  <w:style w:type="character" w:customStyle="1" w:styleId="TitleChar">
    <w:name w:val="Title Char"/>
    <w:link w:val="Title"/>
    <w:uiPriority w:val="10"/>
    <w:rsid w:val="0040597F"/>
    <w:rPr>
      <w:rFonts w:ascii="Arial" w:eastAsia="MS Gothic" w:hAnsi="Arial" w:cs="Times New Roman"/>
      <w:b/>
      <w:spacing w:val="5"/>
      <w:kern w:val="28"/>
      <w:sz w:val="56"/>
      <w:szCs w:val="52"/>
    </w:rPr>
  </w:style>
  <w:style w:type="paragraph" w:styleId="Header">
    <w:name w:val="header"/>
    <w:basedOn w:val="Normal"/>
    <w:link w:val="HeaderChar"/>
    <w:uiPriority w:val="99"/>
    <w:unhideWhenUsed/>
    <w:rsid w:val="00786840"/>
    <w:pPr>
      <w:tabs>
        <w:tab w:val="center" w:pos="4320"/>
        <w:tab w:val="right" w:pos="8640"/>
      </w:tabs>
    </w:pPr>
  </w:style>
  <w:style w:type="paragraph" w:customStyle="1" w:styleId="Author">
    <w:name w:val="Author"/>
    <w:basedOn w:val="Normal"/>
    <w:qFormat/>
    <w:rsid w:val="00786840"/>
    <w:pPr>
      <w:spacing w:after="240"/>
      <w:contextualSpacing/>
    </w:pPr>
    <w:rPr>
      <w:color w:val="808080"/>
      <w:sz w:val="44"/>
    </w:rPr>
  </w:style>
  <w:style w:type="paragraph" w:styleId="Date">
    <w:name w:val="Date"/>
    <w:basedOn w:val="Normal"/>
    <w:next w:val="Normal"/>
    <w:link w:val="DateChar"/>
    <w:uiPriority w:val="99"/>
    <w:unhideWhenUsed/>
    <w:rsid w:val="00786840"/>
    <w:rPr>
      <w:color w:val="808080"/>
      <w:sz w:val="34"/>
    </w:rPr>
  </w:style>
  <w:style w:type="character" w:customStyle="1" w:styleId="DateChar">
    <w:name w:val="Date Char"/>
    <w:link w:val="Date"/>
    <w:uiPriority w:val="99"/>
    <w:rsid w:val="00786840"/>
    <w:rPr>
      <w:rFonts w:ascii="Arial" w:hAnsi="Arial"/>
      <w:color w:val="808080"/>
      <w:sz w:val="34"/>
    </w:rPr>
  </w:style>
  <w:style w:type="character" w:customStyle="1" w:styleId="HeaderChar">
    <w:name w:val="Header Char"/>
    <w:link w:val="Header"/>
    <w:uiPriority w:val="99"/>
    <w:rsid w:val="00786840"/>
    <w:rPr>
      <w:rFonts w:ascii="Arial" w:hAnsi="Arial"/>
    </w:rPr>
  </w:style>
  <w:style w:type="paragraph" w:styleId="Footer">
    <w:name w:val="footer"/>
    <w:basedOn w:val="Normal"/>
    <w:link w:val="FooterChar"/>
    <w:uiPriority w:val="99"/>
    <w:unhideWhenUsed/>
    <w:rsid w:val="00786840"/>
    <w:pPr>
      <w:tabs>
        <w:tab w:val="center" w:pos="4320"/>
        <w:tab w:val="right" w:pos="8640"/>
      </w:tabs>
    </w:pPr>
  </w:style>
  <w:style w:type="character" w:customStyle="1" w:styleId="FooterChar">
    <w:name w:val="Footer Char"/>
    <w:link w:val="Footer"/>
    <w:uiPriority w:val="99"/>
    <w:rsid w:val="00786840"/>
    <w:rPr>
      <w:rFonts w:ascii="Arial" w:hAnsi="Arial"/>
    </w:rPr>
  </w:style>
  <w:style w:type="character" w:customStyle="1" w:styleId="Heading1Char">
    <w:name w:val="Heading 1 Char"/>
    <w:link w:val="Heading1"/>
    <w:uiPriority w:val="9"/>
    <w:rsid w:val="0048325C"/>
    <w:rPr>
      <w:rFonts w:ascii="Arial" w:eastAsia="MS Gothic" w:hAnsi="Arial" w:cs="Times New Roman"/>
      <w:b/>
      <w:bCs/>
      <w:sz w:val="40"/>
      <w:szCs w:val="32"/>
    </w:rPr>
  </w:style>
  <w:style w:type="character" w:styleId="PageNumber">
    <w:name w:val="page number"/>
    <w:basedOn w:val="DefaultParagraphFont"/>
    <w:uiPriority w:val="99"/>
    <w:unhideWhenUsed/>
    <w:rsid w:val="0048325C"/>
  </w:style>
  <w:style w:type="paragraph" w:styleId="Caption">
    <w:name w:val="caption"/>
    <w:basedOn w:val="Normal"/>
    <w:next w:val="Normal"/>
    <w:uiPriority w:val="35"/>
    <w:qFormat/>
    <w:rsid w:val="00772A33"/>
    <w:pPr>
      <w:keepNext/>
      <w:spacing w:after="200"/>
    </w:pPr>
    <w:rPr>
      <w:b/>
      <w:bCs/>
      <w:sz w:val="22"/>
      <w:szCs w:val="22"/>
    </w:rPr>
  </w:style>
  <w:style w:type="paragraph" w:customStyle="1" w:styleId="Bullet-2ndlevel">
    <w:name w:val="Bullet - 2nd level"/>
    <w:basedOn w:val="Normal"/>
    <w:qFormat/>
    <w:rsid w:val="007A0DA4"/>
    <w:pPr>
      <w:numPr>
        <w:numId w:val="4"/>
      </w:numPr>
      <w:contextualSpacing/>
    </w:pPr>
  </w:style>
  <w:style w:type="character" w:customStyle="1" w:styleId="Heading2Char">
    <w:name w:val="Heading 2 Char"/>
    <w:link w:val="Heading2"/>
    <w:uiPriority w:val="9"/>
    <w:rsid w:val="004B7148"/>
    <w:rPr>
      <w:rFonts w:ascii="Arial" w:eastAsia="MS Gothic" w:hAnsi="Arial" w:cs="Times New Roman"/>
      <w:color w:val="930623"/>
      <w:sz w:val="32"/>
      <w:szCs w:val="32"/>
    </w:rPr>
  </w:style>
  <w:style w:type="paragraph" w:customStyle="1" w:styleId="TOCHeading1">
    <w:name w:val="TOC Heading1"/>
    <w:basedOn w:val="Heading1"/>
    <w:next w:val="Normal"/>
    <w:uiPriority w:val="39"/>
    <w:unhideWhenUsed/>
    <w:qFormat/>
    <w:rsid w:val="00402753"/>
    <w:pPr>
      <w:spacing w:after="0" w:line="276" w:lineRule="auto"/>
      <w:outlineLvl w:val="9"/>
    </w:pPr>
    <w:rPr>
      <w:b w:val="0"/>
      <w:bCs w:val="0"/>
      <w:color w:val="442021"/>
      <w:sz w:val="36"/>
      <w:szCs w:val="36"/>
    </w:rPr>
  </w:style>
  <w:style w:type="paragraph" w:styleId="TOC1">
    <w:name w:val="toc 1"/>
    <w:basedOn w:val="Normal"/>
    <w:next w:val="Normal"/>
    <w:autoRedefine/>
    <w:uiPriority w:val="39"/>
    <w:unhideWhenUsed/>
    <w:rsid w:val="00772A33"/>
    <w:pPr>
      <w:spacing w:before="120" w:after="0"/>
    </w:pPr>
  </w:style>
  <w:style w:type="paragraph" w:styleId="TOC2">
    <w:name w:val="toc 2"/>
    <w:basedOn w:val="Normal"/>
    <w:next w:val="Normal"/>
    <w:autoRedefine/>
    <w:uiPriority w:val="39"/>
    <w:unhideWhenUsed/>
    <w:rsid w:val="00772A33"/>
    <w:pPr>
      <w:tabs>
        <w:tab w:val="right" w:leader="dot" w:pos="8290"/>
      </w:tabs>
      <w:spacing w:after="0"/>
      <w:ind w:left="240"/>
    </w:pPr>
    <w:rPr>
      <w:sz w:val="22"/>
      <w:szCs w:val="22"/>
    </w:rPr>
  </w:style>
  <w:style w:type="paragraph" w:styleId="TOC3">
    <w:name w:val="toc 3"/>
    <w:basedOn w:val="Normal"/>
    <w:next w:val="Normal"/>
    <w:autoRedefine/>
    <w:uiPriority w:val="39"/>
    <w:unhideWhenUsed/>
    <w:rsid w:val="00B22BCA"/>
    <w:pPr>
      <w:spacing w:after="0"/>
      <w:ind w:left="480"/>
    </w:pPr>
    <w:rPr>
      <w:sz w:val="22"/>
      <w:szCs w:val="22"/>
    </w:rPr>
  </w:style>
  <w:style w:type="paragraph" w:styleId="TOC4">
    <w:name w:val="toc 4"/>
    <w:basedOn w:val="Normal"/>
    <w:next w:val="Normal"/>
    <w:autoRedefine/>
    <w:uiPriority w:val="39"/>
    <w:semiHidden/>
    <w:unhideWhenUsed/>
    <w:rsid w:val="00B22BCA"/>
    <w:pPr>
      <w:spacing w:after="0"/>
      <w:ind w:left="720"/>
    </w:pPr>
    <w:rPr>
      <w:sz w:val="20"/>
      <w:szCs w:val="20"/>
    </w:rPr>
  </w:style>
  <w:style w:type="paragraph" w:styleId="TOC5">
    <w:name w:val="toc 5"/>
    <w:basedOn w:val="Normal"/>
    <w:next w:val="Normal"/>
    <w:autoRedefine/>
    <w:uiPriority w:val="39"/>
    <w:semiHidden/>
    <w:unhideWhenUsed/>
    <w:rsid w:val="00B22BCA"/>
    <w:pPr>
      <w:spacing w:after="0"/>
      <w:ind w:left="960"/>
    </w:pPr>
    <w:rPr>
      <w:sz w:val="20"/>
      <w:szCs w:val="20"/>
    </w:rPr>
  </w:style>
  <w:style w:type="paragraph" w:styleId="TOC6">
    <w:name w:val="toc 6"/>
    <w:basedOn w:val="Normal"/>
    <w:next w:val="Normal"/>
    <w:autoRedefine/>
    <w:uiPriority w:val="39"/>
    <w:semiHidden/>
    <w:unhideWhenUsed/>
    <w:rsid w:val="00B22BCA"/>
    <w:pPr>
      <w:spacing w:after="0"/>
      <w:ind w:left="1200"/>
    </w:pPr>
    <w:rPr>
      <w:sz w:val="20"/>
      <w:szCs w:val="20"/>
    </w:rPr>
  </w:style>
  <w:style w:type="paragraph" w:styleId="TOC7">
    <w:name w:val="toc 7"/>
    <w:basedOn w:val="Normal"/>
    <w:next w:val="Normal"/>
    <w:autoRedefine/>
    <w:uiPriority w:val="39"/>
    <w:semiHidden/>
    <w:unhideWhenUsed/>
    <w:rsid w:val="00B22BCA"/>
    <w:pPr>
      <w:spacing w:after="0"/>
      <w:ind w:left="1440"/>
    </w:pPr>
    <w:rPr>
      <w:sz w:val="20"/>
      <w:szCs w:val="20"/>
    </w:rPr>
  </w:style>
  <w:style w:type="paragraph" w:styleId="TOC8">
    <w:name w:val="toc 8"/>
    <w:basedOn w:val="Normal"/>
    <w:next w:val="Normal"/>
    <w:autoRedefine/>
    <w:uiPriority w:val="39"/>
    <w:semiHidden/>
    <w:unhideWhenUsed/>
    <w:rsid w:val="00B22BCA"/>
    <w:pPr>
      <w:spacing w:after="0"/>
      <w:ind w:left="1680"/>
    </w:pPr>
    <w:rPr>
      <w:sz w:val="20"/>
      <w:szCs w:val="20"/>
    </w:rPr>
  </w:style>
  <w:style w:type="paragraph" w:styleId="TOC9">
    <w:name w:val="toc 9"/>
    <w:basedOn w:val="Normal"/>
    <w:next w:val="Normal"/>
    <w:autoRedefine/>
    <w:uiPriority w:val="39"/>
    <w:semiHidden/>
    <w:unhideWhenUsed/>
    <w:rsid w:val="00B22BCA"/>
    <w:pPr>
      <w:spacing w:after="0"/>
      <w:ind w:left="1920"/>
    </w:pPr>
    <w:rPr>
      <w:sz w:val="20"/>
      <w:szCs w:val="20"/>
    </w:rPr>
  </w:style>
  <w:style w:type="character" w:customStyle="1" w:styleId="Heading3Char">
    <w:name w:val="Heading 3 Char"/>
    <w:link w:val="Heading3"/>
    <w:uiPriority w:val="9"/>
    <w:rsid w:val="007A0DA4"/>
    <w:rPr>
      <w:rFonts w:ascii="Arial" w:eastAsia="MS Gothic" w:hAnsi="Arial" w:cs="Times New Roman"/>
      <w:color w:val="442021"/>
      <w:sz w:val="28"/>
      <w:szCs w:val="28"/>
    </w:rPr>
  </w:style>
  <w:style w:type="character" w:customStyle="1" w:styleId="Heading4Char">
    <w:name w:val="Heading 4 Char"/>
    <w:link w:val="Heading4"/>
    <w:uiPriority w:val="9"/>
    <w:rsid w:val="004B7148"/>
    <w:rPr>
      <w:rFonts w:ascii="Arial" w:eastAsia="MS Gothic" w:hAnsi="Arial" w:cs="Times New Roman"/>
      <w:i/>
      <w:iCs/>
      <w:color w:val="930623"/>
    </w:rPr>
  </w:style>
  <w:style w:type="table" w:styleId="TableGrid">
    <w:name w:val="Table Grid"/>
    <w:basedOn w:val="TableNormal"/>
    <w:uiPriority w:val="59"/>
    <w:rsid w:val="00EB4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uiPriority w:val="9"/>
    <w:rsid w:val="005D5E76"/>
    <w:rPr>
      <w:rFonts w:ascii="Arial" w:eastAsia="MS Gothic" w:hAnsi="Arial" w:cs="Times New Roman"/>
      <w:b/>
    </w:rPr>
  </w:style>
  <w:style w:type="character" w:styleId="Hyperlink">
    <w:name w:val="Hyperlink"/>
    <w:uiPriority w:val="99"/>
    <w:unhideWhenUsed/>
    <w:rsid w:val="00DD0FF8"/>
    <w:rPr>
      <w:color w:val="0000FF"/>
      <w:u w:val="single"/>
    </w:rPr>
  </w:style>
  <w:style w:type="paragraph" w:customStyle="1" w:styleId="Credit">
    <w:name w:val="Credit"/>
    <w:basedOn w:val="Normal"/>
    <w:qFormat/>
    <w:rsid w:val="00772A33"/>
    <w:rPr>
      <w:sz w:val="18"/>
      <w:szCs w:val="18"/>
    </w:rPr>
  </w:style>
  <w:style w:type="paragraph" w:customStyle="1" w:styleId="ColorfulGrid-Accent11">
    <w:name w:val="Colorful Grid - Accent 11"/>
    <w:basedOn w:val="Normal"/>
    <w:next w:val="Normal"/>
    <w:link w:val="ColorfulGrid-Accent1Char"/>
    <w:uiPriority w:val="29"/>
    <w:qFormat/>
    <w:rsid w:val="007A0DA4"/>
    <w:pPr>
      <w:pBdr>
        <w:top w:val="single" w:sz="4" w:space="3" w:color="61C6C6"/>
        <w:bottom w:val="single" w:sz="4" w:space="2" w:color="61C6C6"/>
      </w:pBdr>
    </w:pPr>
    <w:rPr>
      <w:i/>
      <w:iCs/>
      <w:lang w:val="en-GB"/>
    </w:rPr>
  </w:style>
  <w:style w:type="character" w:customStyle="1" w:styleId="ColorfulGrid-Accent1Char">
    <w:name w:val="Colorful Grid - Accent 1 Char"/>
    <w:link w:val="ColorfulGrid-Accent11"/>
    <w:uiPriority w:val="29"/>
    <w:rsid w:val="007A0DA4"/>
    <w:rPr>
      <w:rFonts w:ascii="Arial" w:hAnsi="Arial"/>
      <w:i/>
      <w:iCs/>
      <w:lang w:val="en-GB"/>
    </w:rPr>
  </w:style>
  <w:style w:type="paragraph" w:styleId="Subtitle">
    <w:name w:val="Subtitle"/>
    <w:basedOn w:val="Normal"/>
    <w:next w:val="Normal"/>
    <w:link w:val="SubtitleChar"/>
    <w:uiPriority w:val="11"/>
    <w:qFormat/>
    <w:rsid w:val="00402753"/>
    <w:pPr>
      <w:numPr>
        <w:ilvl w:val="1"/>
      </w:numPr>
    </w:pPr>
    <w:rPr>
      <w:rFonts w:ascii="Calibri" w:eastAsia="MS Gothic" w:hAnsi="Calibri"/>
      <w:i/>
      <w:iCs/>
      <w:color w:val="930623"/>
      <w:spacing w:val="15"/>
    </w:rPr>
  </w:style>
  <w:style w:type="character" w:customStyle="1" w:styleId="SubtitleChar">
    <w:name w:val="Subtitle Char"/>
    <w:link w:val="Subtitle"/>
    <w:uiPriority w:val="11"/>
    <w:rsid w:val="00402753"/>
    <w:rPr>
      <w:rFonts w:ascii="Calibri" w:eastAsia="MS Gothic" w:hAnsi="Calibri" w:cs="Times New Roman"/>
      <w:i/>
      <w:iCs/>
      <w:color w:val="930623"/>
      <w:spacing w:val="15"/>
    </w:rPr>
  </w:style>
  <w:style w:type="character" w:customStyle="1" w:styleId="IntenseEmphasis1">
    <w:name w:val="Intense Emphasis1"/>
    <w:uiPriority w:val="21"/>
    <w:qFormat/>
    <w:rsid w:val="00402753"/>
    <w:rPr>
      <w:b/>
      <w:bCs/>
      <w:i/>
      <w:iCs/>
      <w:color w:val="7F001A"/>
    </w:rPr>
  </w:style>
  <w:style w:type="paragraph" w:customStyle="1" w:styleId="LightShading-Accent21">
    <w:name w:val="Light Shading - Accent 21"/>
    <w:basedOn w:val="Normal"/>
    <w:next w:val="Normal"/>
    <w:link w:val="LightShading-Accent2Char"/>
    <w:uiPriority w:val="30"/>
    <w:qFormat/>
    <w:rsid w:val="00402753"/>
    <w:pPr>
      <w:pBdr>
        <w:bottom w:val="single" w:sz="4" w:space="4" w:color="005677"/>
      </w:pBdr>
      <w:spacing w:before="200" w:after="280"/>
      <w:ind w:left="936" w:right="936"/>
    </w:pPr>
    <w:rPr>
      <w:b/>
      <w:bCs/>
      <w:i/>
      <w:iCs/>
      <w:color w:val="7F001A"/>
    </w:rPr>
  </w:style>
  <w:style w:type="character" w:customStyle="1" w:styleId="LightShading-Accent2Char">
    <w:name w:val="Light Shading - Accent 2 Char"/>
    <w:link w:val="LightShading-Accent21"/>
    <w:uiPriority w:val="30"/>
    <w:rsid w:val="00402753"/>
    <w:rPr>
      <w:rFonts w:ascii="Arial" w:hAnsi="Arial"/>
      <w:b/>
      <w:bCs/>
      <w:i/>
      <w:iCs/>
      <w:color w:val="7F001A"/>
    </w:rPr>
  </w:style>
  <w:style w:type="character" w:styleId="CommentReference">
    <w:name w:val="annotation reference"/>
    <w:basedOn w:val="DefaultParagraphFont"/>
    <w:uiPriority w:val="99"/>
    <w:semiHidden/>
    <w:unhideWhenUsed/>
    <w:rsid w:val="00577459"/>
    <w:rPr>
      <w:sz w:val="16"/>
      <w:szCs w:val="16"/>
    </w:rPr>
  </w:style>
  <w:style w:type="paragraph" w:styleId="CommentText">
    <w:name w:val="annotation text"/>
    <w:basedOn w:val="Normal"/>
    <w:link w:val="CommentTextChar"/>
    <w:uiPriority w:val="99"/>
    <w:semiHidden/>
    <w:unhideWhenUsed/>
    <w:rsid w:val="00577459"/>
    <w:rPr>
      <w:sz w:val="20"/>
      <w:szCs w:val="20"/>
    </w:rPr>
  </w:style>
  <w:style w:type="character" w:customStyle="1" w:styleId="CommentTextChar">
    <w:name w:val="Comment Text Char"/>
    <w:basedOn w:val="DefaultParagraphFont"/>
    <w:link w:val="CommentText"/>
    <w:uiPriority w:val="99"/>
    <w:semiHidden/>
    <w:rsid w:val="00577459"/>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577459"/>
    <w:rPr>
      <w:b/>
      <w:bCs/>
    </w:rPr>
  </w:style>
  <w:style w:type="character" w:customStyle="1" w:styleId="CommentSubjectChar">
    <w:name w:val="Comment Subject Char"/>
    <w:basedOn w:val="CommentTextChar"/>
    <w:link w:val="CommentSubject"/>
    <w:uiPriority w:val="99"/>
    <w:semiHidden/>
    <w:rsid w:val="00577459"/>
    <w:rPr>
      <w:rFonts w:ascii="Arial" w:hAnsi="Arial"/>
      <w:b/>
      <w:bCs/>
      <w:lang w:val="en-US" w:eastAsia="en-US"/>
    </w:rPr>
  </w:style>
  <w:style w:type="paragraph" w:styleId="ListParagraph">
    <w:name w:val="List Paragraph"/>
    <w:basedOn w:val="Normal"/>
    <w:uiPriority w:val="34"/>
    <w:qFormat/>
    <w:rsid w:val="00E95B57"/>
    <w:pPr>
      <w:ind w:left="720"/>
      <w:contextualSpacing/>
    </w:pPr>
  </w:style>
  <w:style w:type="paragraph" w:styleId="FootnoteText">
    <w:name w:val="footnote text"/>
    <w:basedOn w:val="Normal"/>
    <w:link w:val="FootnoteTextChar"/>
    <w:semiHidden/>
    <w:rsid w:val="00E95B57"/>
    <w:pPr>
      <w:spacing w:before="120" w:line="276" w:lineRule="auto"/>
    </w:pPr>
    <w:rPr>
      <w:rFonts w:eastAsiaTheme="minorHAnsi" w:cstheme="minorBidi"/>
      <w:sz w:val="22"/>
      <w:szCs w:val="22"/>
      <w:lang w:val="en-AU"/>
    </w:rPr>
  </w:style>
  <w:style w:type="character" w:customStyle="1" w:styleId="FootnoteTextChar">
    <w:name w:val="Footnote Text Char"/>
    <w:basedOn w:val="DefaultParagraphFont"/>
    <w:link w:val="FootnoteText"/>
    <w:semiHidden/>
    <w:rsid w:val="00E95B57"/>
    <w:rPr>
      <w:rFonts w:ascii="Arial" w:eastAsiaTheme="minorHAnsi" w:hAnsi="Arial" w:cstheme="minorBidi"/>
      <w:sz w:val="22"/>
      <w:szCs w:val="22"/>
      <w:lang w:eastAsia="en-US"/>
    </w:rPr>
  </w:style>
  <w:style w:type="character" w:styleId="FootnoteReference">
    <w:name w:val="footnote reference"/>
    <w:semiHidden/>
    <w:rsid w:val="00E95B57"/>
    <w:rPr>
      <w:vertAlign w:val="superscript"/>
    </w:rPr>
  </w:style>
  <w:style w:type="paragraph" w:styleId="EndnoteText">
    <w:name w:val="endnote text"/>
    <w:basedOn w:val="Normal"/>
    <w:link w:val="EndnoteTextChar"/>
    <w:uiPriority w:val="99"/>
    <w:semiHidden/>
    <w:unhideWhenUsed/>
    <w:rsid w:val="00453480"/>
    <w:pPr>
      <w:spacing w:after="0"/>
    </w:pPr>
    <w:rPr>
      <w:sz w:val="20"/>
      <w:szCs w:val="20"/>
    </w:rPr>
  </w:style>
  <w:style w:type="character" w:customStyle="1" w:styleId="EndnoteTextChar">
    <w:name w:val="Endnote Text Char"/>
    <w:basedOn w:val="DefaultParagraphFont"/>
    <w:link w:val="EndnoteText"/>
    <w:uiPriority w:val="99"/>
    <w:semiHidden/>
    <w:rsid w:val="00453480"/>
    <w:rPr>
      <w:rFonts w:ascii="Arial" w:hAnsi="Arial"/>
      <w:lang w:val="en-US" w:eastAsia="en-US"/>
    </w:rPr>
  </w:style>
  <w:style w:type="character" w:styleId="EndnoteReference">
    <w:name w:val="endnote reference"/>
    <w:basedOn w:val="DefaultParagraphFont"/>
    <w:uiPriority w:val="99"/>
    <w:semiHidden/>
    <w:unhideWhenUsed/>
    <w:rsid w:val="00453480"/>
    <w:rPr>
      <w:vertAlign w:val="superscript"/>
    </w:rPr>
  </w:style>
  <w:style w:type="paragraph" w:styleId="Revision">
    <w:name w:val="Revision"/>
    <w:hidden/>
    <w:uiPriority w:val="71"/>
    <w:rsid w:val="0071378B"/>
    <w:rPr>
      <w:rFonts w:ascii="Arial" w:hAnsi="Arial"/>
      <w:sz w:val="24"/>
      <w:szCs w:val="24"/>
      <w:lang w:val="en-US" w:eastAsia="en-US"/>
    </w:rPr>
  </w:style>
  <w:style w:type="character" w:styleId="FollowedHyperlink">
    <w:name w:val="FollowedHyperlink"/>
    <w:basedOn w:val="DefaultParagraphFont"/>
    <w:uiPriority w:val="99"/>
    <w:semiHidden/>
    <w:unhideWhenUsed/>
    <w:rsid w:val="00F023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9580">
      <w:bodyDiv w:val="1"/>
      <w:marLeft w:val="0"/>
      <w:marRight w:val="0"/>
      <w:marTop w:val="0"/>
      <w:marBottom w:val="0"/>
      <w:divBdr>
        <w:top w:val="none" w:sz="0" w:space="0" w:color="auto"/>
        <w:left w:val="none" w:sz="0" w:space="0" w:color="auto"/>
        <w:bottom w:val="none" w:sz="0" w:space="0" w:color="auto"/>
        <w:right w:val="none" w:sz="0" w:space="0" w:color="auto"/>
      </w:divBdr>
    </w:div>
    <w:div w:id="50613490">
      <w:bodyDiv w:val="1"/>
      <w:marLeft w:val="0"/>
      <w:marRight w:val="0"/>
      <w:marTop w:val="0"/>
      <w:marBottom w:val="0"/>
      <w:divBdr>
        <w:top w:val="none" w:sz="0" w:space="0" w:color="auto"/>
        <w:left w:val="none" w:sz="0" w:space="0" w:color="auto"/>
        <w:bottom w:val="none" w:sz="0" w:space="0" w:color="auto"/>
        <w:right w:val="none" w:sz="0" w:space="0" w:color="auto"/>
      </w:divBdr>
    </w:div>
    <w:div w:id="76054403">
      <w:bodyDiv w:val="1"/>
      <w:marLeft w:val="0"/>
      <w:marRight w:val="0"/>
      <w:marTop w:val="0"/>
      <w:marBottom w:val="0"/>
      <w:divBdr>
        <w:top w:val="none" w:sz="0" w:space="0" w:color="auto"/>
        <w:left w:val="none" w:sz="0" w:space="0" w:color="auto"/>
        <w:bottom w:val="none" w:sz="0" w:space="0" w:color="auto"/>
        <w:right w:val="none" w:sz="0" w:space="0" w:color="auto"/>
      </w:divBdr>
    </w:div>
    <w:div w:id="353506606">
      <w:bodyDiv w:val="1"/>
      <w:marLeft w:val="0"/>
      <w:marRight w:val="0"/>
      <w:marTop w:val="0"/>
      <w:marBottom w:val="0"/>
      <w:divBdr>
        <w:top w:val="none" w:sz="0" w:space="0" w:color="auto"/>
        <w:left w:val="none" w:sz="0" w:space="0" w:color="auto"/>
        <w:bottom w:val="none" w:sz="0" w:space="0" w:color="auto"/>
        <w:right w:val="none" w:sz="0" w:space="0" w:color="auto"/>
      </w:divBdr>
    </w:div>
    <w:div w:id="621810686">
      <w:bodyDiv w:val="1"/>
      <w:marLeft w:val="0"/>
      <w:marRight w:val="0"/>
      <w:marTop w:val="0"/>
      <w:marBottom w:val="0"/>
      <w:divBdr>
        <w:top w:val="none" w:sz="0" w:space="0" w:color="auto"/>
        <w:left w:val="none" w:sz="0" w:space="0" w:color="auto"/>
        <w:bottom w:val="none" w:sz="0" w:space="0" w:color="auto"/>
        <w:right w:val="none" w:sz="0" w:space="0" w:color="auto"/>
      </w:divBdr>
    </w:div>
    <w:div w:id="718241046">
      <w:bodyDiv w:val="1"/>
      <w:marLeft w:val="0"/>
      <w:marRight w:val="0"/>
      <w:marTop w:val="0"/>
      <w:marBottom w:val="0"/>
      <w:divBdr>
        <w:top w:val="none" w:sz="0" w:space="0" w:color="auto"/>
        <w:left w:val="none" w:sz="0" w:space="0" w:color="auto"/>
        <w:bottom w:val="none" w:sz="0" w:space="0" w:color="auto"/>
        <w:right w:val="none" w:sz="0" w:space="0" w:color="auto"/>
      </w:divBdr>
    </w:div>
    <w:div w:id="770853716">
      <w:bodyDiv w:val="1"/>
      <w:marLeft w:val="0"/>
      <w:marRight w:val="0"/>
      <w:marTop w:val="0"/>
      <w:marBottom w:val="0"/>
      <w:divBdr>
        <w:top w:val="none" w:sz="0" w:space="0" w:color="auto"/>
        <w:left w:val="none" w:sz="0" w:space="0" w:color="auto"/>
        <w:bottom w:val="none" w:sz="0" w:space="0" w:color="auto"/>
        <w:right w:val="none" w:sz="0" w:space="0" w:color="auto"/>
      </w:divBdr>
    </w:div>
    <w:div w:id="794525431">
      <w:bodyDiv w:val="1"/>
      <w:marLeft w:val="0"/>
      <w:marRight w:val="0"/>
      <w:marTop w:val="0"/>
      <w:marBottom w:val="0"/>
      <w:divBdr>
        <w:top w:val="none" w:sz="0" w:space="0" w:color="auto"/>
        <w:left w:val="none" w:sz="0" w:space="0" w:color="auto"/>
        <w:bottom w:val="none" w:sz="0" w:space="0" w:color="auto"/>
        <w:right w:val="none" w:sz="0" w:space="0" w:color="auto"/>
      </w:divBdr>
    </w:div>
    <w:div w:id="893665435">
      <w:bodyDiv w:val="1"/>
      <w:marLeft w:val="0"/>
      <w:marRight w:val="0"/>
      <w:marTop w:val="0"/>
      <w:marBottom w:val="0"/>
      <w:divBdr>
        <w:top w:val="none" w:sz="0" w:space="0" w:color="auto"/>
        <w:left w:val="none" w:sz="0" w:space="0" w:color="auto"/>
        <w:bottom w:val="none" w:sz="0" w:space="0" w:color="auto"/>
        <w:right w:val="none" w:sz="0" w:space="0" w:color="auto"/>
      </w:divBdr>
    </w:div>
    <w:div w:id="1261179094">
      <w:bodyDiv w:val="1"/>
      <w:marLeft w:val="0"/>
      <w:marRight w:val="0"/>
      <w:marTop w:val="0"/>
      <w:marBottom w:val="0"/>
      <w:divBdr>
        <w:top w:val="none" w:sz="0" w:space="0" w:color="auto"/>
        <w:left w:val="none" w:sz="0" w:space="0" w:color="auto"/>
        <w:bottom w:val="none" w:sz="0" w:space="0" w:color="auto"/>
        <w:right w:val="none" w:sz="0" w:space="0" w:color="auto"/>
      </w:divBdr>
    </w:div>
    <w:div w:id="1368024260">
      <w:bodyDiv w:val="1"/>
      <w:marLeft w:val="0"/>
      <w:marRight w:val="0"/>
      <w:marTop w:val="0"/>
      <w:marBottom w:val="0"/>
      <w:divBdr>
        <w:top w:val="none" w:sz="0" w:space="0" w:color="auto"/>
        <w:left w:val="none" w:sz="0" w:space="0" w:color="auto"/>
        <w:bottom w:val="none" w:sz="0" w:space="0" w:color="auto"/>
        <w:right w:val="none" w:sz="0" w:space="0" w:color="auto"/>
      </w:divBdr>
    </w:div>
    <w:div w:id="1420831898">
      <w:bodyDiv w:val="1"/>
      <w:marLeft w:val="0"/>
      <w:marRight w:val="0"/>
      <w:marTop w:val="0"/>
      <w:marBottom w:val="0"/>
      <w:divBdr>
        <w:top w:val="none" w:sz="0" w:space="0" w:color="auto"/>
        <w:left w:val="none" w:sz="0" w:space="0" w:color="auto"/>
        <w:bottom w:val="none" w:sz="0" w:space="0" w:color="auto"/>
        <w:right w:val="none" w:sz="0" w:space="0" w:color="auto"/>
      </w:divBdr>
    </w:div>
    <w:div w:id="1613897097">
      <w:bodyDiv w:val="1"/>
      <w:marLeft w:val="0"/>
      <w:marRight w:val="0"/>
      <w:marTop w:val="0"/>
      <w:marBottom w:val="0"/>
      <w:divBdr>
        <w:top w:val="none" w:sz="0" w:space="0" w:color="auto"/>
        <w:left w:val="none" w:sz="0" w:space="0" w:color="auto"/>
        <w:bottom w:val="none" w:sz="0" w:space="0" w:color="auto"/>
        <w:right w:val="none" w:sz="0" w:space="0" w:color="auto"/>
      </w:divBdr>
    </w:div>
    <w:div w:id="1694919722">
      <w:bodyDiv w:val="1"/>
      <w:marLeft w:val="0"/>
      <w:marRight w:val="0"/>
      <w:marTop w:val="0"/>
      <w:marBottom w:val="0"/>
      <w:divBdr>
        <w:top w:val="none" w:sz="0" w:space="0" w:color="auto"/>
        <w:left w:val="none" w:sz="0" w:space="0" w:color="auto"/>
        <w:bottom w:val="none" w:sz="0" w:space="0" w:color="auto"/>
        <w:right w:val="none" w:sz="0" w:space="0" w:color="auto"/>
      </w:divBdr>
    </w:div>
    <w:div w:id="1745176541">
      <w:bodyDiv w:val="1"/>
      <w:marLeft w:val="0"/>
      <w:marRight w:val="0"/>
      <w:marTop w:val="0"/>
      <w:marBottom w:val="0"/>
      <w:divBdr>
        <w:top w:val="none" w:sz="0" w:space="0" w:color="auto"/>
        <w:left w:val="none" w:sz="0" w:space="0" w:color="auto"/>
        <w:bottom w:val="none" w:sz="0" w:space="0" w:color="auto"/>
        <w:right w:val="none" w:sz="0" w:space="0" w:color="auto"/>
      </w:divBdr>
    </w:div>
    <w:div w:id="1810130802">
      <w:bodyDiv w:val="1"/>
      <w:marLeft w:val="0"/>
      <w:marRight w:val="0"/>
      <w:marTop w:val="0"/>
      <w:marBottom w:val="0"/>
      <w:divBdr>
        <w:top w:val="none" w:sz="0" w:space="0" w:color="auto"/>
        <w:left w:val="none" w:sz="0" w:space="0" w:color="auto"/>
        <w:bottom w:val="none" w:sz="0" w:space="0" w:color="auto"/>
        <w:right w:val="none" w:sz="0" w:space="0" w:color="auto"/>
      </w:divBdr>
    </w:div>
    <w:div w:id="1969236737">
      <w:bodyDiv w:val="1"/>
      <w:marLeft w:val="0"/>
      <w:marRight w:val="0"/>
      <w:marTop w:val="0"/>
      <w:marBottom w:val="0"/>
      <w:divBdr>
        <w:top w:val="none" w:sz="0" w:space="0" w:color="auto"/>
        <w:left w:val="none" w:sz="0" w:space="0" w:color="auto"/>
        <w:bottom w:val="none" w:sz="0" w:space="0" w:color="auto"/>
        <w:right w:val="none" w:sz="0" w:space="0" w:color="auto"/>
      </w:divBdr>
    </w:div>
    <w:div w:id="2049059738">
      <w:bodyDiv w:val="1"/>
      <w:marLeft w:val="0"/>
      <w:marRight w:val="0"/>
      <w:marTop w:val="0"/>
      <w:marBottom w:val="0"/>
      <w:divBdr>
        <w:top w:val="none" w:sz="0" w:space="0" w:color="auto"/>
        <w:left w:val="none" w:sz="0" w:space="0" w:color="auto"/>
        <w:bottom w:val="none" w:sz="0" w:space="0" w:color="auto"/>
        <w:right w:val="none" w:sz="0" w:space="0" w:color="auto"/>
      </w:divBdr>
    </w:div>
    <w:div w:id="2108504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MILegalMetrologyPolicy@measurement.gov.au"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http://www.industry.gov.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Author(s) (22pt Arial)</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5B399E-BCC4-453A-904F-DD1161DB4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3257</Words>
  <Characters>18571</Characters>
  <Application>Microsoft Office Word</Application>
  <DocSecurity>8</DocSecurity>
  <Lines>154</Lines>
  <Paragraphs>43</Paragraphs>
  <ScaleCrop>false</ScaleCrop>
  <HeadingPairs>
    <vt:vector size="2" baseType="variant">
      <vt:variant>
        <vt:lpstr>Title</vt:lpstr>
      </vt:variant>
      <vt:variant>
        <vt:i4>1</vt:i4>
      </vt:variant>
    </vt:vector>
  </HeadingPairs>
  <TitlesOfParts>
    <vt:vector size="1" baseType="lpstr">
      <vt:lpstr>Add your Title (28pt Bold Arial)</vt:lpstr>
    </vt:vector>
  </TitlesOfParts>
  <Company>DIISRTE</Company>
  <LinksUpToDate>false</LinksUpToDate>
  <CharactersWithSpaces>21785</CharactersWithSpaces>
  <SharedDoc>false</SharedDoc>
  <HLinks>
    <vt:vector size="12" baseType="variant">
      <vt:variant>
        <vt:i4>5046289</vt:i4>
      </vt:variant>
      <vt:variant>
        <vt:i4>0</vt:i4>
      </vt:variant>
      <vt:variant>
        <vt:i4>0</vt:i4>
      </vt:variant>
      <vt:variant>
        <vt:i4>5</vt:i4>
      </vt:variant>
      <vt:variant>
        <vt:lpwstr>http://www.industry.gov.au/uniqueurl</vt:lpwstr>
      </vt:variant>
      <vt:variant>
        <vt:lpwstr/>
      </vt:variant>
      <vt:variant>
        <vt:i4>3997750</vt:i4>
      </vt:variant>
      <vt:variant>
        <vt:i4>-1</vt:i4>
      </vt:variant>
      <vt:variant>
        <vt:i4>2050</vt:i4>
      </vt:variant>
      <vt:variant>
        <vt:i4>4</vt:i4>
      </vt:variant>
      <vt:variant>
        <vt:lpwstr>http://www.industry.gov.au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 your Title (28pt Bold Arial)</dc:title>
  <dc:creator>Paul Gunning</dc:creator>
  <cp:lastModifiedBy>Cowling, Glenn</cp:lastModifiedBy>
  <cp:revision>3</cp:revision>
  <cp:lastPrinted>2015-05-26T03:16:00Z</cp:lastPrinted>
  <dcterms:created xsi:type="dcterms:W3CDTF">2015-05-27T00:21:00Z</dcterms:created>
  <dcterms:modified xsi:type="dcterms:W3CDTF">2015-05-27T00:21:00Z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ies>
</file>