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AFFD9" w14:textId="472905E2" w:rsidR="00091C7A" w:rsidRDefault="009F11C0" w:rsidP="00CC2DCE">
      <w:pPr>
        <w:pStyle w:val="Title"/>
        <w:spacing w:before="4480"/>
        <w:ind w:left="907" w:right="663"/>
      </w:pPr>
      <w:r>
        <w:t>Use</w:t>
      </w:r>
      <w:r w:rsidR="006A0F7C" w:rsidRPr="006A0F7C">
        <w:t xml:space="preserve"> of </w:t>
      </w:r>
      <w:r>
        <w:t xml:space="preserve">Near Infrared (NIR) instruments in </w:t>
      </w:r>
      <w:r w:rsidR="00467BEF">
        <w:t>the s</w:t>
      </w:r>
      <w:r>
        <w:t xml:space="preserve">ugar </w:t>
      </w:r>
      <w:r w:rsidR="009B508F">
        <w:t>i</w:t>
      </w:r>
      <w:r>
        <w:t xml:space="preserve">ndustry </w:t>
      </w:r>
      <w:r w:rsidR="00497046">
        <w:t xml:space="preserve">for </w:t>
      </w:r>
      <w:r w:rsidR="009B508F">
        <w:t>t</w:t>
      </w:r>
      <w:r w:rsidR="00497046">
        <w:t>rade</w:t>
      </w:r>
      <w:r w:rsidR="00EA66BE">
        <w:t xml:space="preserve"> purposes</w:t>
      </w:r>
    </w:p>
    <w:p w14:paraId="14641ECB" w14:textId="77777777" w:rsidR="00091C7A" w:rsidRDefault="00091C7A" w:rsidP="00CC2DCE">
      <w:pPr>
        <w:pStyle w:val="Title"/>
        <w:spacing w:before="4480"/>
        <w:ind w:left="907" w:right="663"/>
        <w:rPr>
          <w:sz w:val="56"/>
          <w:szCs w:val="56"/>
        </w:rPr>
      </w:pPr>
    </w:p>
    <w:p w14:paraId="4614EAB4" w14:textId="0D2F5051" w:rsidR="00975726" w:rsidRPr="00091C7A" w:rsidRDefault="00091C7A" w:rsidP="00CC2DCE">
      <w:pPr>
        <w:pStyle w:val="Title"/>
        <w:spacing w:before="4480"/>
        <w:ind w:left="907" w:right="663"/>
        <w:rPr>
          <w:sz w:val="56"/>
          <w:szCs w:val="56"/>
        </w:rPr>
      </w:pPr>
      <w:r w:rsidRPr="00091C7A">
        <w:rPr>
          <w:sz w:val="56"/>
          <w:szCs w:val="56"/>
        </w:rPr>
        <w:t>Consultation paper</w:t>
      </w:r>
      <w:r w:rsidR="006A0F7C" w:rsidRPr="00091C7A">
        <w:rPr>
          <w:sz w:val="56"/>
          <w:szCs w:val="56"/>
        </w:rPr>
        <w:t xml:space="preserve"> </w:t>
      </w:r>
    </w:p>
    <w:p w14:paraId="2B7CC918" w14:textId="61C27F9C" w:rsidR="002300AC" w:rsidRDefault="003E1D58" w:rsidP="001A25AE">
      <w:pPr>
        <w:pStyle w:val="Subtitle"/>
        <w:ind w:left="910" w:right="662"/>
      </w:pPr>
      <w:r>
        <w:t>Legal Metrology Branch</w:t>
      </w:r>
    </w:p>
    <w:p w14:paraId="6D3B5F0E" w14:textId="3F8C94F1" w:rsidR="00163B54" w:rsidRDefault="003F31E2" w:rsidP="001A25AE">
      <w:pPr>
        <w:pStyle w:val="Subtitle"/>
        <w:ind w:left="910" w:right="662"/>
      </w:pPr>
      <w:r>
        <w:t>March</w:t>
      </w:r>
      <w:r w:rsidR="00D12BA2">
        <w:t xml:space="preserve"> </w:t>
      </w:r>
      <w:r w:rsidR="003E1D58">
        <w:t>201</w:t>
      </w:r>
      <w:r w:rsidR="00DD7AF3">
        <w:t>9</w:t>
      </w:r>
    </w:p>
    <w:p w14:paraId="7A5F6A1D" w14:textId="758B869B" w:rsidR="00602C92" w:rsidRDefault="002955CA" w:rsidP="001A25AE">
      <w:pPr>
        <w:ind w:left="910" w:right="662"/>
        <w:rPr>
          <w:rStyle w:val="Hyperlink"/>
        </w:rPr>
      </w:pPr>
      <w:hyperlink r:id="rId11" w:history="1">
        <w:r w:rsidR="003E1D58" w:rsidRPr="00BD35CD">
          <w:rPr>
            <w:rStyle w:val="Hyperlink"/>
          </w:rPr>
          <w:t>www.measurement.gov.au</w:t>
        </w:r>
      </w:hyperlink>
    </w:p>
    <w:p w14:paraId="3EE2015D" w14:textId="77777777" w:rsidR="001A2DC6" w:rsidRDefault="001A2DC6" w:rsidP="001A25AE">
      <w:pPr>
        <w:ind w:left="993" w:right="804"/>
        <w:rPr>
          <w:rStyle w:val="Hyperlink"/>
        </w:rPr>
      </w:pPr>
    </w:p>
    <w:p w14:paraId="7F5B2F2A" w14:textId="77777777" w:rsidR="001A2DC6" w:rsidRDefault="001A2DC6" w:rsidP="00163B54">
      <w:pPr>
        <w:rPr>
          <w:rStyle w:val="Hyperlink"/>
        </w:rPr>
        <w:sectPr w:rsidR="001A2DC6" w:rsidSect="0088639D">
          <w:headerReference w:type="default" r:id="rId12"/>
          <w:pgSz w:w="11906" w:h="16838"/>
          <w:pgMar w:top="1440" w:right="1440" w:bottom="1440" w:left="1440" w:header="708" w:footer="708" w:gutter="0"/>
          <w:cols w:space="708"/>
          <w:docGrid w:linePitch="360"/>
        </w:sectPr>
      </w:pPr>
    </w:p>
    <w:p w14:paraId="5D5CB7F2" w14:textId="49099528" w:rsidR="00CB2680" w:rsidRDefault="00CB2680" w:rsidP="00CB2680">
      <w:pPr>
        <w:pStyle w:val="TOCHeading"/>
      </w:pPr>
      <w:bookmarkStart w:id="0" w:name="_Toc419991345"/>
      <w:r>
        <w:lastRenderedPageBreak/>
        <w:t>Contents</w:t>
      </w:r>
    </w:p>
    <w:p w14:paraId="75FC3C8A" w14:textId="77777777" w:rsidR="002A1DA4" w:rsidRDefault="00163B54">
      <w:pPr>
        <w:pStyle w:val="TOC1"/>
        <w:rPr>
          <w:rFonts w:eastAsiaTheme="minorEastAsia"/>
          <w:noProof/>
          <w:sz w:val="22"/>
          <w:lang w:eastAsia="en-AU"/>
        </w:rPr>
      </w:pPr>
      <w:r>
        <w:fldChar w:fldCharType="begin"/>
      </w:r>
      <w:r>
        <w:instrText xml:space="preserve"> TOC \o "1-2" \h \z \u </w:instrText>
      </w:r>
      <w:r>
        <w:fldChar w:fldCharType="separate"/>
      </w:r>
      <w:hyperlink w:anchor="_Toc3994629" w:history="1">
        <w:r w:rsidR="002A1DA4" w:rsidRPr="007B68DD">
          <w:rPr>
            <w:rStyle w:val="Hyperlink"/>
            <w:noProof/>
          </w:rPr>
          <w:t>Introduction</w:t>
        </w:r>
        <w:r w:rsidR="002A1DA4">
          <w:rPr>
            <w:noProof/>
            <w:webHidden/>
          </w:rPr>
          <w:tab/>
        </w:r>
        <w:r w:rsidR="002A1DA4">
          <w:rPr>
            <w:noProof/>
            <w:webHidden/>
          </w:rPr>
          <w:fldChar w:fldCharType="begin"/>
        </w:r>
        <w:r w:rsidR="002A1DA4">
          <w:rPr>
            <w:noProof/>
            <w:webHidden/>
          </w:rPr>
          <w:instrText xml:space="preserve"> PAGEREF _Toc3994629 \h </w:instrText>
        </w:r>
        <w:r w:rsidR="002A1DA4">
          <w:rPr>
            <w:noProof/>
            <w:webHidden/>
          </w:rPr>
        </w:r>
        <w:r w:rsidR="002A1DA4">
          <w:rPr>
            <w:noProof/>
            <w:webHidden/>
          </w:rPr>
          <w:fldChar w:fldCharType="separate"/>
        </w:r>
        <w:r w:rsidR="002955CA">
          <w:rPr>
            <w:noProof/>
            <w:webHidden/>
          </w:rPr>
          <w:t>1</w:t>
        </w:r>
        <w:r w:rsidR="002A1DA4">
          <w:rPr>
            <w:noProof/>
            <w:webHidden/>
          </w:rPr>
          <w:fldChar w:fldCharType="end"/>
        </w:r>
      </w:hyperlink>
    </w:p>
    <w:p w14:paraId="68AB631B" w14:textId="77777777" w:rsidR="002A1DA4" w:rsidRDefault="002955CA">
      <w:pPr>
        <w:pStyle w:val="TOC1"/>
        <w:rPr>
          <w:rFonts w:eastAsiaTheme="minorEastAsia"/>
          <w:noProof/>
          <w:sz w:val="22"/>
          <w:lang w:eastAsia="en-AU"/>
        </w:rPr>
      </w:pPr>
      <w:hyperlink w:anchor="_Toc3994630" w:history="1">
        <w:r w:rsidR="002A1DA4" w:rsidRPr="007B68DD">
          <w:rPr>
            <w:rStyle w:val="Hyperlink"/>
            <w:noProof/>
          </w:rPr>
          <w:t>Background</w:t>
        </w:r>
        <w:r w:rsidR="002A1DA4">
          <w:rPr>
            <w:noProof/>
            <w:webHidden/>
          </w:rPr>
          <w:tab/>
        </w:r>
        <w:r w:rsidR="002A1DA4">
          <w:rPr>
            <w:noProof/>
            <w:webHidden/>
          </w:rPr>
          <w:fldChar w:fldCharType="begin"/>
        </w:r>
        <w:r w:rsidR="002A1DA4">
          <w:rPr>
            <w:noProof/>
            <w:webHidden/>
          </w:rPr>
          <w:instrText xml:space="preserve"> PAGEREF _Toc3994630 \h </w:instrText>
        </w:r>
        <w:r w:rsidR="002A1DA4">
          <w:rPr>
            <w:noProof/>
            <w:webHidden/>
          </w:rPr>
        </w:r>
        <w:r w:rsidR="002A1DA4">
          <w:rPr>
            <w:noProof/>
            <w:webHidden/>
          </w:rPr>
          <w:fldChar w:fldCharType="separate"/>
        </w:r>
        <w:r>
          <w:rPr>
            <w:noProof/>
            <w:webHidden/>
          </w:rPr>
          <w:t>1</w:t>
        </w:r>
        <w:r w:rsidR="002A1DA4">
          <w:rPr>
            <w:noProof/>
            <w:webHidden/>
          </w:rPr>
          <w:fldChar w:fldCharType="end"/>
        </w:r>
      </w:hyperlink>
    </w:p>
    <w:p w14:paraId="1205EF15" w14:textId="77777777" w:rsidR="002A1DA4" w:rsidRDefault="002955CA">
      <w:pPr>
        <w:pStyle w:val="TOC2"/>
        <w:tabs>
          <w:tab w:val="right" w:leader="dot" w:pos="9016"/>
        </w:tabs>
        <w:rPr>
          <w:rFonts w:eastAsiaTheme="minorEastAsia"/>
          <w:noProof/>
          <w:color w:val="auto"/>
          <w:sz w:val="22"/>
          <w:lang w:eastAsia="en-AU"/>
        </w:rPr>
      </w:pPr>
      <w:hyperlink w:anchor="_Toc3994631" w:history="1">
        <w:r w:rsidR="002A1DA4" w:rsidRPr="007B68DD">
          <w:rPr>
            <w:rStyle w:val="Hyperlink"/>
            <w:noProof/>
          </w:rPr>
          <w:t>What is trade measurement?</w:t>
        </w:r>
        <w:r w:rsidR="002A1DA4">
          <w:rPr>
            <w:noProof/>
            <w:webHidden/>
          </w:rPr>
          <w:tab/>
        </w:r>
        <w:r w:rsidR="002A1DA4">
          <w:rPr>
            <w:noProof/>
            <w:webHidden/>
          </w:rPr>
          <w:fldChar w:fldCharType="begin"/>
        </w:r>
        <w:r w:rsidR="002A1DA4">
          <w:rPr>
            <w:noProof/>
            <w:webHidden/>
          </w:rPr>
          <w:instrText xml:space="preserve"> PAGEREF _Toc3994631 \h </w:instrText>
        </w:r>
        <w:r w:rsidR="002A1DA4">
          <w:rPr>
            <w:noProof/>
            <w:webHidden/>
          </w:rPr>
        </w:r>
        <w:r w:rsidR="002A1DA4">
          <w:rPr>
            <w:noProof/>
            <w:webHidden/>
          </w:rPr>
          <w:fldChar w:fldCharType="separate"/>
        </w:r>
        <w:r>
          <w:rPr>
            <w:noProof/>
            <w:webHidden/>
          </w:rPr>
          <w:t>1</w:t>
        </w:r>
        <w:r w:rsidR="002A1DA4">
          <w:rPr>
            <w:noProof/>
            <w:webHidden/>
          </w:rPr>
          <w:fldChar w:fldCharType="end"/>
        </w:r>
      </w:hyperlink>
    </w:p>
    <w:p w14:paraId="08B1BE2B" w14:textId="77777777" w:rsidR="002A1DA4" w:rsidRDefault="002955CA">
      <w:pPr>
        <w:pStyle w:val="TOC2"/>
        <w:tabs>
          <w:tab w:val="right" w:leader="dot" w:pos="9016"/>
        </w:tabs>
        <w:rPr>
          <w:rFonts w:eastAsiaTheme="minorEastAsia"/>
          <w:noProof/>
          <w:color w:val="auto"/>
          <w:sz w:val="22"/>
          <w:lang w:eastAsia="en-AU"/>
        </w:rPr>
      </w:pPr>
      <w:hyperlink w:anchor="_Toc3994632" w:history="1">
        <w:r w:rsidR="002A1DA4" w:rsidRPr="007B68DD">
          <w:rPr>
            <w:rStyle w:val="Hyperlink"/>
            <w:noProof/>
          </w:rPr>
          <w:t>Pattern approval and Verification</w:t>
        </w:r>
        <w:r w:rsidR="002A1DA4">
          <w:rPr>
            <w:noProof/>
            <w:webHidden/>
          </w:rPr>
          <w:tab/>
        </w:r>
        <w:r w:rsidR="002A1DA4">
          <w:rPr>
            <w:noProof/>
            <w:webHidden/>
          </w:rPr>
          <w:fldChar w:fldCharType="begin"/>
        </w:r>
        <w:r w:rsidR="002A1DA4">
          <w:rPr>
            <w:noProof/>
            <w:webHidden/>
          </w:rPr>
          <w:instrText xml:space="preserve"> PAGEREF _Toc3994632 \h </w:instrText>
        </w:r>
        <w:r w:rsidR="002A1DA4">
          <w:rPr>
            <w:noProof/>
            <w:webHidden/>
          </w:rPr>
        </w:r>
        <w:r w:rsidR="002A1DA4">
          <w:rPr>
            <w:noProof/>
            <w:webHidden/>
          </w:rPr>
          <w:fldChar w:fldCharType="separate"/>
        </w:r>
        <w:r>
          <w:rPr>
            <w:noProof/>
            <w:webHidden/>
          </w:rPr>
          <w:t>1</w:t>
        </w:r>
        <w:r w:rsidR="002A1DA4">
          <w:rPr>
            <w:noProof/>
            <w:webHidden/>
          </w:rPr>
          <w:fldChar w:fldCharType="end"/>
        </w:r>
      </w:hyperlink>
    </w:p>
    <w:p w14:paraId="25D91A51" w14:textId="77777777" w:rsidR="002A1DA4" w:rsidRDefault="002955CA">
      <w:pPr>
        <w:pStyle w:val="TOC1"/>
        <w:rPr>
          <w:rFonts w:eastAsiaTheme="minorEastAsia"/>
          <w:noProof/>
          <w:sz w:val="22"/>
          <w:lang w:eastAsia="en-AU"/>
        </w:rPr>
      </w:pPr>
      <w:hyperlink w:anchor="_Toc3994633" w:history="1">
        <w:r w:rsidR="002A1DA4" w:rsidRPr="007B68DD">
          <w:rPr>
            <w:rStyle w:val="Hyperlink"/>
            <w:noProof/>
          </w:rPr>
          <w:t>Use of NIR instruments in the sugar industry</w:t>
        </w:r>
        <w:r w:rsidR="002A1DA4">
          <w:rPr>
            <w:noProof/>
            <w:webHidden/>
          </w:rPr>
          <w:tab/>
        </w:r>
        <w:r w:rsidR="002A1DA4">
          <w:rPr>
            <w:noProof/>
            <w:webHidden/>
          </w:rPr>
          <w:fldChar w:fldCharType="begin"/>
        </w:r>
        <w:r w:rsidR="002A1DA4">
          <w:rPr>
            <w:noProof/>
            <w:webHidden/>
          </w:rPr>
          <w:instrText xml:space="preserve"> PAGEREF _Toc3994633 \h </w:instrText>
        </w:r>
        <w:r w:rsidR="002A1DA4">
          <w:rPr>
            <w:noProof/>
            <w:webHidden/>
          </w:rPr>
        </w:r>
        <w:r w:rsidR="002A1DA4">
          <w:rPr>
            <w:noProof/>
            <w:webHidden/>
          </w:rPr>
          <w:fldChar w:fldCharType="separate"/>
        </w:r>
        <w:r>
          <w:rPr>
            <w:noProof/>
            <w:webHidden/>
          </w:rPr>
          <w:t>1</w:t>
        </w:r>
        <w:r w:rsidR="002A1DA4">
          <w:rPr>
            <w:noProof/>
            <w:webHidden/>
          </w:rPr>
          <w:fldChar w:fldCharType="end"/>
        </w:r>
      </w:hyperlink>
    </w:p>
    <w:p w14:paraId="14D34CBA" w14:textId="77777777" w:rsidR="002A1DA4" w:rsidRDefault="002955CA">
      <w:pPr>
        <w:pStyle w:val="TOC2"/>
        <w:tabs>
          <w:tab w:val="right" w:leader="dot" w:pos="9016"/>
        </w:tabs>
        <w:rPr>
          <w:rFonts w:eastAsiaTheme="minorEastAsia"/>
          <w:noProof/>
          <w:color w:val="auto"/>
          <w:sz w:val="22"/>
          <w:lang w:eastAsia="en-AU"/>
        </w:rPr>
      </w:pPr>
      <w:hyperlink w:anchor="_Toc3994634" w:history="1">
        <w:r w:rsidR="002A1DA4" w:rsidRPr="007B68DD">
          <w:rPr>
            <w:rStyle w:val="Hyperlink"/>
            <w:noProof/>
          </w:rPr>
          <w:t>Proposed regulatory engagement</w:t>
        </w:r>
        <w:r w:rsidR="002A1DA4">
          <w:rPr>
            <w:noProof/>
            <w:webHidden/>
          </w:rPr>
          <w:tab/>
        </w:r>
        <w:r w:rsidR="002A1DA4">
          <w:rPr>
            <w:noProof/>
            <w:webHidden/>
          </w:rPr>
          <w:fldChar w:fldCharType="begin"/>
        </w:r>
        <w:r w:rsidR="002A1DA4">
          <w:rPr>
            <w:noProof/>
            <w:webHidden/>
          </w:rPr>
          <w:instrText xml:space="preserve"> PAGEREF _Toc3994634 \h </w:instrText>
        </w:r>
        <w:r w:rsidR="002A1DA4">
          <w:rPr>
            <w:noProof/>
            <w:webHidden/>
          </w:rPr>
        </w:r>
        <w:r w:rsidR="002A1DA4">
          <w:rPr>
            <w:noProof/>
            <w:webHidden/>
          </w:rPr>
          <w:fldChar w:fldCharType="separate"/>
        </w:r>
        <w:r>
          <w:rPr>
            <w:noProof/>
            <w:webHidden/>
          </w:rPr>
          <w:t>2</w:t>
        </w:r>
        <w:r w:rsidR="002A1DA4">
          <w:rPr>
            <w:noProof/>
            <w:webHidden/>
          </w:rPr>
          <w:fldChar w:fldCharType="end"/>
        </w:r>
      </w:hyperlink>
    </w:p>
    <w:p w14:paraId="093330FF" w14:textId="77777777" w:rsidR="002A1DA4" w:rsidRDefault="002955CA">
      <w:pPr>
        <w:pStyle w:val="TOC1"/>
        <w:rPr>
          <w:rFonts w:eastAsiaTheme="minorEastAsia"/>
          <w:noProof/>
          <w:sz w:val="22"/>
          <w:lang w:eastAsia="en-AU"/>
        </w:rPr>
      </w:pPr>
      <w:hyperlink w:anchor="_Toc3994635" w:history="1">
        <w:r w:rsidR="002A1DA4" w:rsidRPr="007B68DD">
          <w:rPr>
            <w:rStyle w:val="Hyperlink"/>
            <w:noProof/>
          </w:rPr>
          <w:t>Providing Your Feedback</w:t>
        </w:r>
        <w:r w:rsidR="002A1DA4">
          <w:rPr>
            <w:noProof/>
            <w:webHidden/>
          </w:rPr>
          <w:tab/>
        </w:r>
        <w:r w:rsidR="002A1DA4">
          <w:rPr>
            <w:noProof/>
            <w:webHidden/>
          </w:rPr>
          <w:fldChar w:fldCharType="begin"/>
        </w:r>
        <w:r w:rsidR="002A1DA4">
          <w:rPr>
            <w:noProof/>
            <w:webHidden/>
          </w:rPr>
          <w:instrText xml:space="preserve"> PAGEREF _Toc3994635 \h </w:instrText>
        </w:r>
        <w:r w:rsidR="002A1DA4">
          <w:rPr>
            <w:noProof/>
            <w:webHidden/>
          </w:rPr>
        </w:r>
        <w:r w:rsidR="002A1DA4">
          <w:rPr>
            <w:noProof/>
            <w:webHidden/>
          </w:rPr>
          <w:fldChar w:fldCharType="separate"/>
        </w:r>
        <w:r>
          <w:rPr>
            <w:noProof/>
            <w:webHidden/>
          </w:rPr>
          <w:t>3</w:t>
        </w:r>
        <w:r w:rsidR="002A1DA4">
          <w:rPr>
            <w:noProof/>
            <w:webHidden/>
          </w:rPr>
          <w:fldChar w:fldCharType="end"/>
        </w:r>
      </w:hyperlink>
    </w:p>
    <w:p w14:paraId="0BEB6DAC" w14:textId="77777777" w:rsidR="002A1DA4" w:rsidRDefault="002955CA">
      <w:pPr>
        <w:pStyle w:val="TOC2"/>
        <w:tabs>
          <w:tab w:val="right" w:leader="dot" w:pos="9016"/>
        </w:tabs>
        <w:rPr>
          <w:rFonts w:eastAsiaTheme="minorEastAsia"/>
          <w:noProof/>
          <w:color w:val="auto"/>
          <w:sz w:val="22"/>
          <w:lang w:eastAsia="en-AU"/>
        </w:rPr>
      </w:pPr>
      <w:hyperlink w:anchor="_Toc3994636" w:history="1">
        <w:r w:rsidR="002A1DA4" w:rsidRPr="007B68DD">
          <w:rPr>
            <w:rStyle w:val="Hyperlink"/>
            <w:noProof/>
          </w:rPr>
          <w:t>Providing a confidential submission</w:t>
        </w:r>
        <w:r w:rsidR="002A1DA4">
          <w:rPr>
            <w:noProof/>
            <w:webHidden/>
          </w:rPr>
          <w:tab/>
        </w:r>
        <w:r w:rsidR="002A1DA4">
          <w:rPr>
            <w:noProof/>
            <w:webHidden/>
          </w:rPr>
          <w:fldChar w:fldCharType="begin"/>
        </w:r>
        <w:r w:rsidR="002A1DA4">
          <w:rPr>
            <w:noProof/>
            <w:webHidden/>
          </w:rPr>
          <w:instrText xml:space="preserve"> PAGEREF _Toc3994636 \h </w:instrText>
        </w:r>
        <w:r w:rsidR="002A1DA4">
          <w:rPr>
            <w:noProof/>
            <w:webHidden/>
          </w:rPr>
        </w:r>
        <w:r w:rsidR="002A1DA4">
          <w:rPr>
            <w:noProof/>
            <w:webHidden/>
          </w:rPr>
          <w:fldChar w:fldCharType="separate"/>
        </w:r>
        <w:r>
          <w:rPr>
            <w:noProof/>
            <w:webHidden/>
          </w:rPr>
          <w:t>3</w:t>
        </w:r>
        <w:r w:rsidR="002A1DA4">
          <w:rPr>
            <w:noProof/>
            <w:webHidden/>
          </w:rPr>
          <w:fldChar w:fldCharType="end"/>
        </w:r>
      </w:hyperlink>
    </w:p>
    <w:p w14:paraId="0416C0A1" w14:textId="0A060881" w:rsidR="00B505F4" w:rsidRDefault="00163B54" w:rsidP="00B505F4">
      <w:r>
        <w:fldChar w:fldCharType="end"/>
      </w:r>
    </w:p>
    <w:p w14:paraId="2E81936C" w14:textId="77777777" w:rsidR="00B505F4" w:rsidRDefault="00B505F4" w:rsidP="00B505F4">
      <w:pPr>
        <w:sectPr w:rsidR="00B505F4" w:rsidSect="00B505F4">
          <w:headerReference w:type="default" r:id="rId13"/>
          <w:footerReference w:type="default" r:id="rId14"/>
          <w:headerReference w:type="first" r:id="rId15"/>
          <w:footerReference w:type="first" r:id="rId16"/>
          <w:pgSz w:w="11906" w:h="16838"/>
          <w:pgMar w:top="1440" w:right="1440" w:bottom="1440" w:left="1440" w:header="708" w:footer="708" w:gutter="0"/>
          <w:pgNumType w:fmt="lowerRoman" w:start="1"/>
          <w:cols w:space="708"/>
          <w:docGrid w:linePitch="360"/>
        </w:sectPr>
      </w:pPr>
    </w:p>
    <w:p w14:paraId="0EC025D4" w14:textId="78E1A956" w:rsidR="00163B54" w:rsidRDefault="003E1D58" w:rsidP="00B505F4">
      <w:pPr>
        <w:pStyle w:val="Heading1"/>
        <w:spacing w:after="240"/>
      </w:pPr>
      <w:bookmarkStart w:id="1" w:name="_Toc3994629"/>
      <w:r>
        <w:lastRenderedPageBreak/>
        <w:t>Introduction</w:t>
      </w:r>
      <w:bookmarkEnd w:id="1"/>
    </w:p>
    <w:p w14:paraId="042A49A6" w14:textId="625B3361" w:rsidR="003E1D58" w:rsidRPr="003865B2" w:rsidRDefault="003E1D58" w:rsidP="004451F5">
      <w:pPr>
        <w:jc w:val="both"/>
        <w:rPr>
          <w:szCs w:val="20"/>
        </w:rPr>
      </w:pPr>
      <w:r w:rsidRPr="003865B2">
        <w:rPr>
          <w:szCs w:val="20"/>
        </w:rPr>
        <w:t xml:space="preserve">The National Measurement Institute (NMI) is seeking submissions from stakeholders on a proposal to </w:t>
      </w:r>
      <w:r w:rsidR="00DD7AF3" w:rsidRPr="003865B2">
        <w:rPr>
          <w:szCs w:val="20"/>
        </w:rPr>
        <w:t xml:space="preserve">implement trade measurement framework for the Near Infrared (NIR) instruments used by sugar industry for </w:t>
      </w:r>
      <w:r w:rsidR="00C87E9E" w:rsidRPr="003865B2">
        <w:rPr>
          <w:szCs w:val="20"/>
        </w:rPr>
        <w:t>qualit</w:t>
      </w:r>
      <w:r w:rsidR="00C87E9E">
        <w:rPr>
          <w:szCs w:val="20"/>
        </w:rPr>
        <w:t>y</w:t>
      </w:r>
      <w:r w:rsidR="00C87E9E" w:rsidRPr="003865B2">
        <w:rPr>
          <w:szCs w:val="20"/>
        </w:rPr>
        <w:t xml:space="preserve"> </w:t>
      </w:r>
      <w:r w:rsidR="00DD7AF3" w:rsidRPr="003865B2">
        <w:rPr>
          <w:szCs w:val="20"/>
        </w:rPr>
        <w:t>measurements</w:t>
      </w:r>
      <w:r w:rsidRPr="003865B2">
        <w:rPr>
          <w:szCs w:val="20"/>
        </w:rPr>
        <w:t>.</w:t>
      </w:r>
    </w:p>
    <w:p w14:paraId="681F2BE2" w14:textId="6D8D81C6" w:rsidR="003E1D58" w:rsidRPr="003865B2" w:rsidRDefault="00B215C9" w:rsidP="004451F5">
      <w:pPr>
        <w:jc w:val="both"/>
        <w:rPr>
          <w:szCs w:val="20"/>
        </w:rPr>
      </w:pPr>
      <w:r w:rsidRPr="003865B2">
        <w:rPr>
          <w:szCs w:val="20"/>
        </w:rPr>
        <w:t xml:space="preserve">Currently, </w:t>
      </w:r>
      <w:r w:rsidR="003E1D58" w:rsidRPr="003865B2">
        <w:rPr>
          <w:szCs w:val="20"/>
        </w:rPr>
        <w:t xml:space="preserve">NMI does not </w:t>
      </w:r>
      <w:r w:rsidRPr="003865B2">
        <w:rPr>
          <w:szCs w:val="20"/>
        </w:rPr>
        <w:t>specify any</w:t>
      </w:r>
      <w:r w:rsidR="00DD7AF3" w:rsidRPr="003865B2">
        <w:rPr>
          <w:szCs w:val="20"/>
        </w:rPr>
        <w:t xml:space="preserve"> trade measurement </w:t>
      </w:r>
      <w:r w:rsidRPr="003865B2">
        <w:rPr>
          <w:szCs w:val="20"/>
        </w:rPr>
        <w:t>requirements</w:t>
      </w:r>
      <w:r w:rsidR="00DD7AF3" w:rsidRPr="003865B2">
        <w:rPr>
          <w:szCs w:val="20"/>
        </w:rPr>
        <w:t xml:space="preserve"> for the NIR </w:t>
      </w:r>
      <w:r w:rsidR="002E4984" w:rsidRPr="003865B2">
        <w:rPr>
          <w:szCs w:val="20"/>
        </w:rPr>
        <w:t>instruments</w:t>
      </w:r>
      <w:r w:rsidRPr="003865B2">
        <w:rPr>
          <w:szCs w:val="20"/>
        </w:rPr>
        <w:t xml:space="preserve"> used by sugar industry for quality measurements.</w:t>
      </w:r>
    </w:p>
    <w:p w14:paraId="4C823152" w14:textId="7562BC19" w:rsidR="003E1D58" w:rsidRDefault="003E1D58" w:rsidP="00B505F4">
      <w:pPr>
        <w:pStyle w:val="Heading1"/>
        <w:spacing w:after="240"/>
        <w:jc w:val="both"/>
      </w:pPr>
      <w:bookmarkStart w:id="2" w:name="_Toc3994630"/>
      <w:r>
        <w:t>Background</w:t>
      </w:r>
      <w:bookmarkEnd w:id="2"/>
    </w:p>
    <w:p w14:paraId="2A2E1D53" w14:textId="00591842" w:rsidR="00E52F06" w:rsidRDefault="00E52F06" w:rsidP="004451F5">
      <w:pPr>
        <w:pStyle w:val="Heading2"/>
        <w:jc w:val="both"/>
      </w:pPr>
      <w:bookmarkStart w:id="3" w:name="_Toc3994631"/>
      <w:r>
        <w:t>What is trade measurement?</w:t>
      </w:r>
      <w:bookmarkEnd w:id="3"/>
    </w:p>
    <w:p w14:paraId="41C8B87D" w14:textId="645F83E5" w:rsidR="00A82E85" w:rsidRPr="003865B2" w:rsidRDefault="00A82E85" w:rsidP="004451F5">
      <w:pPr>
        <w:jc w:val="both"/>
        <w:rPr>
          <w:szCs w:val="20"/>
        </w:rPr>
      </w:pPr>
      <w:r w:rsidRPr="003865B2">
        <w:rPr>
          <w:szCs w:val="20"/>
        </w:rPr>
        <w:t xml:space="preserve">NMI, a division of the Australian Government Department of Industry, Innovation and Science, administers the </w:t>
      </w:r>
      <w:r w:rsidRPr="003865B2">
        <w:rPr>
          <w:i/>
          <w:szCs w:val="20"/>
        </w:rPr>
        <w:t>National Measurement Act 1960</w:t>
      </w:r>
      <w:r w:rsidRPr="003865B2">
        <w:rPr>
          <w:szCs w:val="20"/>
        </w:rPr>
        <w:t xml:space="preserve"> (the Act).</w:t>
      </w:r>
    </w:p>
    <w:p w14:paraId="3F53CA59" w14:textId="77777777" w:rsidR="00A82E85" w:rsidRPr="003865B2" w:rsidRDefault="00A82E85" w:rsidP="004451F5">
      <w:pPr>
        <w:jc w:val="both"/>
        <w:rPr>
          <w:szCs w:val="20"/>
        </w:rPr>
      </w:pPr>
      <w:r w:rsidRPr="003865B2">
        <w:rPr>
          <w:szCs w:val="20"/>
        </w:rPr>
        <w:t xml:space="preserve">The Act establishes a national system of units and standards of measurement and provides for their uniform use throughout Australia to ensure traceability of measurement. </w:t>
      </w:r>
    </w:p>
    <w:p w14:paraId="4C5A5A38" w14:textId="0C86903A" w:rsidR="00A82E85" w:rsidRPr="003865B2" w:rsidRDefault="00A82E85" w:rsidP="004451F5">
      <w:pPr>
        <w:jc w:val="both"/>
        <w:rPr>
          <w:szCs w:val="20"/>
        </w:rPr>
      </w:pPr>
      <w:r w:rsidRPr="003865B2">
        <w:rPr>
          <w:szCs w:val="20"/>
        </w:rPr>
        <w:t xml:space="preserve">The Act also regulates transactions involving measurement, including sales of measured quantities and packaged goods, and sets out specific requirements for measuring instruments used for trade. </w:t>
      </w:r>
    </w:p>
    <w:p w14:paraId="0E6425D3" w14:textId="77777777" w:rsidR="00A82E85" w:rsidRPr="003865B2" w:rsidRDefault="00A82E85" w:rsidP="004451F5">
      <w:pPr>
        <w:jc w:val="both"/>
        <w:rPr>
          <w:b/>
          <w:bCs/>
          <w:szCs w:val="20"/>
        </w:rPr>
      </w:pPr>
      <w:r w:rsidRPr="003865B2">
        <w:rPr>
          <w:szCs w:val="20"/>
        </w:rPr>
        <w:t>Consistency and certainty in measurement supports fair and open competition. It provides a level playing field for business by ensuring that all market participants, irrespective of their size or financial strength, follow the same rules and have equal opportunity to compete.</w:t>
      </w:r>
      <w:r w:rsidRPr="003865B2">
        <w:rPr>
          <w:b/>
          <w:bCs/>
          <w:szCs w:val="20"/>
        </w:rPr>
        <w:t xml:space="preserve"> </w:t>
      </w:r>
    </w:p>
    <w:p w14:paraId="095F5369" w14:textId="77777777" w:rsidR="00A82E85" w:rsidRPr="003865B2" w:rsidRDefault="00A82E85" w:rsidP="004451F5">
      <w:pPr>
        <w:jc w:val="both"/>
        <w:rPr>
          <w:szCs w:val="20"/>
        </w:rPr>
      </w:pPr>
      <w:r w:rsidRPr="003865B2">
        <w:rPr>
          <w:szCs w:val="20"/>
        </w:rPr>
        <w:t xml:space="preserve">A measuring instrument is being used for trade if it is used in determining the consideration in respect of a transaction or in determining the amount of a tax. In Australia, the Act requires that all measuring instruments used for trade must be pattern-approved and verified. </w:t>
      </w:r>
    </w:p>
    <w:p w14:paraId="25CF7FFD" w14:textId="6765E146" w:rsidR="00E52F06" w:rsidRDefault="008A119A" w:rsidP="004451F5">
      <w:pPr>
        <w:pStyle w:val="Heading2"/>
        <w:jc w:val="both"/>
      </w:pPr>
      <w:bookmarkStart w:id="4" w:name="_Toc3994632"/>
      <w:r>
        <w:t>P</w:t>
      </w:r>
      <w:r w:rsidR="00E52F06">
        <w:t>attern approval</w:t>
      </w:r>
      <w:r>
        <w:t xml:space="preserve"> and Verification</w:t>
      </w:r>
      <w:bookmarkEnd w:id="4"/>
    </w:p>
    <w:p w14:paraId="0D015C3E" w14:textId="77777777" w:rsidR="00E52F06" w:rsidRPr="003865B2" w:rsidRDefault="00E52F06" w:rsidP="004451F5">
      <w:pPr>
        <w:jc w:val="both"/>
        <w:rPr>
          <w:szCs w:val="20"/>
        </w:rPr>
      </w:pPr>
      <w:r w:rsidRPr="003865B2">
        <w:rPr>
          <w:szCs w:val="20"/>
        </w:rPr>
        <w:t>Pattern approval confirms that a measuring instrument’s design meets relevant documentary standards</w:t>
      </w:r>
      <w:r w:rsidRPr="003865B2">
        <w:rPr>
          <w:szCs w:val="20"/>
          <w:vertAlign w:val="superscript"/>
        </w:rPr>
        <w:footnoteReference w:id="1"/>
      </w:r>
      <w:r w:rsidRPr="003865B2">
        <w:rPr>
          <w:szCs w:val="20"/>
        </w:rPr>
        <w:t xml:space="preserve"> and performs as intended over a range of environmental and operating conditions. </w:t>
      </w:r>
    </w:p>
    <w:p w14:paraId="27899457" w14:textId="4EE008FF" w:rsidR="00E52F06" w:rsidRPr="003865B2" w:rsidRDefault="00E52F06" w:rsidP="004451F5">
      <w:pPr>
        <w:jc w:val="both"/>
        <w:rPr>
          <w:szCs w:val="20"/>
        </w:rPr>
      </w:pPr>
      <w:r w:rsidRPr="003865B2">
        <w:rPr>
          <w:szCs w:val="20"/>
        </w:rPr>
        <w:t xml:space="preserve">Manufacturers, importers and suppliers that wish to </w:t>
      </w:r>
      <w:r w:rsidR="00D12BA2" w:rsidRPr="003865B2">
        <w:rPr>
          <w:szCs w:val="20"/>
        </w:rPr>
        <w:t xml:space="preserve">supply and sell </w:t>
      </w:r>
      <w:r w:rsidRPr="003865B2">
        <w:rPr>
          <w:szCs w:val="20"/>
        </w:rPr>
        <w:t>trade measur</w:t>
      </w:r>
      <w:r w:rsidR="002D670D" w:rsidRPr="003865B2">
        <w:rPr>
          <w:szCs w:val="20"/>
        </w:rPr>
        <w:t>ing</w:t>
      </w:r>
      <w:r w:rsidRPr="003865B2">
        <w:rPr>
          <w:szCs w:val="20"/>
        </w:rPr>
        <w:t xml:space="preserve"> instruments in Australia are required to </w:t>
      </w:r>
      <w:r w:rsidR="00AF58BD" w:rsidRPr="003865B2">
        <w:rPr>
          <w:szCs w:val="20"/>
        </w:rPr>
        <w:t xml:space="preserve">ensure those instruments have a pattern approval certificate from </w:t>
      </w:r>
      <w:r w:rsidR="000956CC" w:rsidRPr="003865B2">
        <w:rPr>
          <w:szCs w:val="20"/>
        </w:rPr>
        <w:t xml:space="preserve">NMI. </w:t>
      </w:r>
      <w:r w:rsidRPr="003865B2">
        <w:rPr>
          <w:szCs w:val="20"/>
        </w:rPr>
        <w:t xml:space="preserve">NMI examines </w:t>
      </w:r>
      <w:r w:rsidR="001A7633" w:rsidRPr="003865B2">
        <w:rPr>
          <w:szCs w:val="20"/>
        </w:rPr>
        <w:t xml:space="preserve">the designs of instruments, including associated test </w:t>
      </w:r>
      <w:r w:rsidR="00DF26E4" w:rsidRPr="003865B2">
        <w:rPr>
          <w:szCs w:val="20"/>
        </w:rPr>
        <w:t>results</w:t>
      </w:r>
      <w:r w:rsidR="001A7633" w:rsidRPr="003865B2">
        <w:rPr>
          <w:szCs w:val="20"/>
        </w:rPr>
        <w:t xml:space="preserve">, </w:t>
      </w:r>
      <w:r w:rsidRPr="003865B2">
        <w:rPr>
          <w:szCs w:val="20"/>
        </w:rPr>
        <w:t>against relevant standards and issues certificates for pattern approval that are internationally recognised. NMI may also appoint Approving Authorities to examine measuring instruments and produce test reports for pattern approval.</w:t>
      </w:r>
    </w:p>
    <w:p w14:paraId="393EC03B" w14:textId="3B3FD9AE" w:rsidR="00015003" w:rsidRPr="003865B2" w:rsidRDefault="00015003" w:rsidP="004451F5">
      <w:pPr>
        <w:jc w:val="both"/>
        <w:rPr>
          <w:szCs w:val="20"/>
        </w:rPr>
      </w:pPr>
      <w:r w:rsidRPr="003865B2">
        <w:rPr>
          <w:szCs w:val="20"/>
        </w:rPr>
        <w:t>Verification tests the performance and accuracy of each instrument that has been pattern approved. NMI appoints servicing licensees to carry out verification of measuring instruments used for trade purposes in accordance with the test procedures specified by NMI.</w:t>
      </w:r>
    </w:p>
    <w:p w14:paraId="0FC7C2B6" w14:textId="255D4991" w:rsidR="0027696D" w:rsidRPr="00140043" w:rsidRDefault="0027696D" w:rsidP="0027696D">
      <w:pPr>
        <w:pStyle w:val="Heading1"/>
        <w:spacing w:after="240"/>
        <w:jc w:val="both"/>
      </w:pPr>
      <w:bookmarkStart w:id="5" w:name="_Toc3994633"/>
      <w:r>
        <w:t xml:space="preserve">Use of NIR instruments in </w:t>
      </w:r>
      <w:r w:rsidR="00EF40E5">
        <w:t xml:space="preserve">the </w:t>
      </w:r>
      <w:r>
        <w:t>sugar industry</w:t>
      </w:r>
      <w:bookmarkEnd w:id="5"/>
    </w:p>
    <w:p w14:paraId="563A3486" w14:textId="58403CCB" w:rsidR="0027696D" w:rsidRPr="003865B2" w:rsidRDefault="00B505F4" w:rsidP="00015003">
      <w:pPr>
        <w:spacing w:before="120"/>
        <w:jc w:val="both"/>
        <w:rPr>
          <w:rFonts w:cstheme="minorHAnsi"/>
          <w:szCs w:val="20"/>
        </w:rPr>
      </w:pPr>
      <w:r w:rsidRPr="003865B2">
        <w:rPr>
          <w:rFonts w:cstheme="minorHAnsi"/>
          <w:szCs w:val="20"/>
        </w:rPr>
        <w:t xml:space="preserve">NMI has worked with the </w:t>
      </w:r>
      <w:r w:rsidR="001A4396">
        <w:rPr>
          <w:rFonts w:cstheme="minorHAnsi"/>
          <w:szCs w:val="20"/>
        </w:rPr>
        <w:t xml:space="preserve">Australian </w:t>
      </w:r>
      <w:r w:rsidRPr="003865B2">
        <w:rPr>
          <w:rFonts w:cstheme="minorHAnsi"/>
          <w:szCs w:val="20"/>
        </w:rPr>
        <w:t xml:space="preserve">sugar industry </w:t>
      </w:r>
      <w:r w:rsidR="004122F2">
        <w:rPr>
          <w:rFonts w:cstheme="minorHAnsi"/>
          <w:szCs w:val="20"/>
        </w:rPr>
        <w:t xml:space="preserve">over many years </w:t>
      </w:r>
      <w:r w:rsidRPr="003865B2">
        <w:rPr>
          <w:rFonts w:cstheme="minorHAnsi"/>
          <w:szCs w:val="20"/>
        </w:rPr>
        <w:t xml:space="preserve">to ensure measuring instruments </w:t>
      </w:r>
      <w:r w:rsidR="00813BB1" w:rsidRPr="003865B2">
        <w:rPr>
          <w:rFonts w:cstheme="minorHAnsi"/>
          <w:szCs w:val="20"/>
        </w:rPr>
        <w:t xml:space="preserve">that </w:t>
      </w:r>
      <w:r w:rsidR="009B508F" w:rsidRPr="003865B2">
        <w:rPr>
          <w:rFonts w:cstheme="minorHAnsi"/>
          <w:szCs w:val="20"/>
        </w:rPr>
        <w:t>are used</w:t>
      </w:r>
      <w:r w:rsidR="00813BB1" w:rsidRPr="003865B2">
        <w:rPr>
          <w:rFonts w:cstheme="minorHAnsi"/>
          <w:szCs w:val="20"/>
        </w:rPr>
        <w:t xml:space="preserve"> for trade measurements </w:t>
      </w:r>
      <w:r w:rsidRPr="003865B2">
        <w:rPr>
          <w:rFonts w:cstheme="minorHAnsi"/>
          <w:szCs w:val="20"/>
        </w:rPr>
        <w:t>(e.g. weighing instruments, polarimeters and brix hydrometers) comply with the regulatory framework</w:t>
      </w:r>
      <w:r w:rsidR="004122F2">
        <w:rPr>
          <w:rFonts w:cstheme="minorHAnsi"/>
          <w:szCs w:val="20"/>
        </w:rPr>
        <w:t xml:space="preserve"> established under the Act</w:t>
      </w:r>
      <w:r w:rsidRPr="003865B2">
        <w:rPr>
          <w:rFonts w:cstheme="minorHAnsi"/>
          <w:szCs w:val="20"/>
        </w:rPr>
        <w:t xml:space="preserve">.  </w:t>
      </w:r>
    </w:p>
    <w:p w14:paraId="3558ED1E" w14:textId="2E2106D4" w:rsidR="00015003" w:rsidRPr="003865B2" w:rsidRDefault="00015003" w:rsidP="00015003">
      <w:pPr>
        <w:jc w:val="both"/>
        <w:rPr>
          <w:szCs w:val="20"/>
        </w:rPr>
      </w:pPr>
      <w:r w:rsidRPr="003865B2">
        <w:rPr>
          <w:szCs w:val="20"/>
        </w:rPr>
        <w:lastRenderedPageBreak/>
        <w:t xml:space="preserve">In the recent years, </w:t>
      </w:r>
      <w:r w:rsidR="001A4396">
        <w:rPr>
          <w:szCs w:val="20"/>
        </w:rPr>
        <w:t xml:space="preserve">the </w:t>
      </w:r>
      <w:r w:rsidRPr="003865B2">
        <w:rPr>
          <w:szCs w:val="20"/>
        </w:rPr>
        <w:t xml:space="preserve">sugar industry has been trialling the use of NIR instruments to analyse sugarcane as an alternative method to </w:t>
      </w:r>
      <w:r w:rsidR="00A7699A">
        <w:rPr>
          <w:szCs w:val="20"/>
        </w:rPr>
        <w:t xml:space="preserve">the </w:t>
      </w:r>
      <w:r w:rsidRPr="003865B2">
        <w:rPr>
          <w:szCs w:val="20"/>
        </w:rPr>
        <w:t>measure</w:t>
      </w:r>
      <w:r w:rsidR="00A7699A">
        <w:rPr>
          <w:szCs w:val="20"/>
        </w:rPr>
        <w:t>ment of</w:t>
      </w:r>
      <w:r w:rsidRPr="003865B2">
        <w:rPr>
          <w:szCs w:val="20"/>
        </w:rPr>
        <w:t xml:space="preserve"> Pol, Brix and Fibre to determine </w:t>
      </w:r>
      <w:r w:rsidR="00A7699A">
        <w:rPr>
          <w:szCs w:val="20"/>
        </w:rPr>
        <w:t xml:space="preserve">sugar </w:t>
      </w:r>
      <w:r w:rsidRPr="003865B2">
        <w:rPr>
          <w:szCs w:val="20"/>
        </w:rPr>
        <w:t>quality. The price per tonne of sugar cane supplied by the grower to the sugar mill is generally determined using long standing industry methods which rely on trade measurements for Pol % juice; Brix % Juice and Fibre. For this purpose the NIR instruments would be considered as measuring instruments in use for trade under the Act.</w:t>
      </w:r>
    </w:p>
    <w:p w14:paraId="7A06AB8E" w14:textId="3CBED80D" w:rsidR="00F73286" w:rsidRPr="003865B2" w:rsidRDefault="000A1196" w:rsidP="00B505F4">
      <w:pPr>
        <w:spacing w:before="120" w:after="0"/>
        <w:jc w:val="both"/>
        <w:rPr>
          <w:rFonts w:cstheme="minorHAnsi"/>
          <w:szCs w:val="20"/>
        </w:rPr>
      </w:pPr>
      <w:r w:rsidRPr="003865B2">
        <w:rPr>
          <w:rFonts w:cstheme="minorHAnsi"/>
          <w:szCs w:val="20"/>
        </w:rPr>
        <w:t xml:space="preserve">In 2018 NMI undertook an analysis of </w:t>
      </w:r>
      <w:r w:rsidR="00A7699A">
        <w:rPr>
          <w:rFonts w:cstheme="minorHAnsi"/>
          <w:szCs w:val="20"/>
        </w:rPr>
        <w:t xml:space="preserve">the </w:t>
      </w:r>
      <w:r w:rsidR="00717D6B" w:rsidRPr="003865B2">
        <w:rPr>
          <w:rFonts w:cstheme="minorHAnsi"/>
          <w:szCs w:val="20"/>
        </w:rPr>
        <w:t xml:space="preserve">use of NIR instruments for the </w:t>
      </w:r>
      <w:r w:rsidRPr="003865B2">
        <w:rPr>
          <w:rFonts w:cstheme="minorHAnsi"/>
          <w:szCs w:val="20"/>
        </w:rPr>
        <w:t>meas</w:t>
      </w:r>
      <w:r w:rsidR="00717D6B" w:rsidRPr="003865B2">
        <w:rPr>
          <w:rFonts w:cstheme="minorHAnsi"/>
          <w:szCs w:val="20"/>
        </w:rPr>
        <w:t xml:space="preserve">urements of Pol, Brix and Fibre, by the sugar milling industry. Shredded cane passes through the NIR instrument’s sample window at the first mill, where it is subjected to NIR light spectrum. Depending on the composition of the sample differing values of NIR light is absorbed by the sample or reflected back to the NIR instrument which in turn is measured for the different wavelengths.  The </w:t>
      </w:r>
      <w:r w:rsidR="00A7699A">
        <w:rPr>
          <w:rFonts w:cstheme="minorHAnsi"/>
          <w:szCs w:val="20"/>
        </w:rPr>
        <w:t xml:space="preserve">wavelength </w:t>
      </w:r>
      <w:r w:rsidR="00717D6B" w:rsidRPr="003865B2">
        <w:rPr>
          <w:rFonts w:cstheme="minorHAnsi"/>
          <w:szCs w:val="20"/>
        </w:rPr>
        <w:t xml:space="preserve">profile of the sampled cane is compared against a library of profiles to find the best fit.  The profiles for corresponding values of Pol, Brix and Fibre in the library </w:t>
      </w:r>
      <w:r w:rsidR="00A7699A">
        <w:rPr>
          <w:rFonts w:cstheme="minorHAnsi"/>
          <w:szCs w:val="20"/>
        </w:rPr>
        <w:t>have</w:t>
      </w:r>
      <w:r w:rsidR="00A7699A" w:rsidRPr="003865B2">
        <w:rPr>
          <w:rFonts w:cstheme="minorHAnsi"/>
          <w:szCs w:val="20"/>
        </w:rPr>
        <w:t xml:space="preserve"> </w:t>
      </w:r>
      <w:r w:rsidR="00717D6B" w:rsidRPr="003865B2">
        <w:rPr>
          <w:rFonts w:cstheme="minorHAnsi"/>
          <w:szCs w:val="20"/>
        </w:rPr>
        <w:t xml:space="preserve">been determined using trade approved measuring instruments (weighing instruments, polarimeters and brix hydrometers). </w:t>
      </w:r>
    </w:p>
    <w:p w14:paraId="7C74EA2E" w14:textId="77777777" w:rsidR="00717D6B" w:rsidRPr="003865B2" w:rsidRDefault="00717D6B" w:rsidP="00717D6B">
      <w:pPr>
        <w:spacing w:before="120" w:after="0"/>
        <w:jc w:val="both"/>
        <w:rPr>
          <w:rFonts w:cstheme="minorHAnsi"/>
          <w:iCs/>
          <w:szCs w:val="20"/>
        </w:rPr>
      </w:pPr>
      <w:r w:rsidRPr="003865B2">
        <w:rPr>
          <w:rFonts w:cstheme="minorHAnsi"/>
          <w:iCs/>
          <w:szCs w:val="20"/>
        </w:rPr>
        <w:t>For NIR instruments to provide consistent and accurate measurements for Pol, Brix and Fibre there are two important considerations:</w:t>
      </w:r>
    </w:p>
    <w:p w14:paraId="2C48E99D" w14:textId="77777777" w:rsidR="00717D6B" w:rsidRPr="003865B2" w:rsidRDefault="00717D6B" w:rsidP="00717D6B">
      <w:pPr>
        <w:numPr>
          <w:ilvl w:val="0"/>
          <w:numId w:val="18"/>
        </w:numPr>
        <w:spacing w:before="120" w:after="0"/>
        <w:jc w:val="both"/>
        <w:rPr>
          <w:rFonts w:cstheme="minorHAnsi"/>
          <w:iCs/>
          <w:szCs w:val="20"/>
        </w:rPr>
      </w:pPr>
      <w:r w:rsidRPr="003865B2">
        <w:rPr>
          <w:rFonts w:cstheme="minorHAnsi"/>
          <w:iCs/>
          <w:szCs w:val="20"/>
        </w:rPr>
        <w:t>The NIR measuring instrument’s capability to accurately and consistently measure reflectance (absorbance) at different wavelengths using traceable reference standards (e.g. photometric standards); and</w:t>
      </w:r>
    </w:p>
    <w:p w14:paraId="0436EC1A" w14:textId="77777777" w:rsidR="00717D6B" w:rsidRDefault="00717D6B" w:rsidP="00717D6B">
      <w:pPr>
        <w:numPr>
          <w:ilvl w:val="0"/>
          <w:numId w:val="18"/>
        </w:numPr>
        <w:spacing w:before="120" w:after="0"/>
        <w:jc w:val="both"/>
        <w:rPr>
          <w:rFonts w:cstheme="minorHAnsi"/>
          <w:iCs/>
          <w:szCs w:val="20"/>
        </w:rPr>
      </w:pPr>
      <w:r w:rsidRPr="003865B2">
        <w:rPr>
          <w:rFonts w:cstheme="minorHAnsi"/>
          <w:iCs/>
          <w:szCs w:val="20"/>
        </w:rPr>
        <w:t>The accuracy of NIR profiles to predict the quantities being measured (i.e. Pol, Brix or Fibre).</w:t>
      </w:r>
    </w:p>
    <w:p w14:paraId="5398AAB7" w14:textId="22DA16A2" w:rsidR="00D6029F" w:rsidRPr="003865B2" w:rsidRDefault="00D6029F" w:rsidP="00D6029F">
      <w:pPr>
        <w:pStyle w:val="Heading2"/>
        <w:rPr>
          <w:sz w:val="20"/>
        </w:rPr>
      </w:pPr>
      <w:bookmarkStart w:id="6" w:name="_Toc3994634"/>
      <w:r>
        <w:t>Proposed regulatory engagement</w:t>
      </w:r>
      <w:bookmarkEnd w:id="6"/>
    </w:p>
    <w:p w14:paraId="2F1EEEB9" w14:textId="2F46BE49" w:rsidR="00B505F4" w:rsidRPr="003865B2" w:rsidRDefault="00717D6B" w:rsidP="00B505F4">
      <w:pPr>
        <w:spacing w:before="120" w:after="0"/>
        <w:jc w:val="both"/>
        <w:rPr>
          <w:rFonts w:cstheme="minorHAnsi"/>
          <w:szCs w:val="20"/>
        </w:rPr>
      </w:pPr>
      <w:r w:rsidRPr="003865B2">
        <w:rPr>
          <w:rFonts w:cstheme="minorHAnsi"/>
          <w:szCs w:val="20"/>
        </w:rPr>
        <w:t xml:space="preserve">NMI proposes the following </w:t>
      </w:r>
      <w:r w:rsidR="00B655DE">
        <w:rPr>
          <w:rFonts w:cstheme="minorHAnsi"/>
          <w:szCs w:val="20"/>
        </w:rPr>
        <w:t>approach</w:t>
      </w:r>
      <w:r w:rsidR="00B505F4" w:rsidRPr="003865B2">
        <w:rPr>
          <w:rFonts w:cstheme="minorHAnsi"/>
          <w:szCs w:val="20"/>
        </w:rPr>
        <w:t xml:space="preserve"> regarding the use of NIR instruments by sugar milling industry for trade pur</w:t>
      </w:r>
      <w:r w:rsidRPr="003865B2">
        <w:rPr>
          <w:rFonts w:cstheme="minorHAnsi"/>
          <w:szCs w:val="20"/>
        </w:rPr>
        <w:t>poses:</w:t>
      </w:r>
    </w:p>
    <w:p w14:paraId="41B21056" w14:textId="47FEB336" w:rsidR="00717D6B" w:rsidRPr="003865B2" w:rsidRDefault="00B655DE" w:rsidP="00717D6B">
      <w:pPr>
        <w:numPr>
          <w:ilvl w:val="0"/>
          <w:numId w:val="20"/>
        </w:numPr>
        <w:spacing w:before="120" w:after="0"/>
        <w:jc w:val="both"/>
        <w:rPr>
          <w:rFonts w:cstheme="minorHAnsi"/>
          <w:szCs w:val="20"/>
        </w:rPr>
      </w:pPr>
      <w:r>
        <w:rPr>
          <w:rFonts w:cstheme="minorHAnsi"/>
          <w:szCs w:val="20"/>
        </w:rPr>
        <w:t>The development of</w:t>
      </w:r>
      <w:r w:rsidR="00717D6B" w:rsidRPr="003865B2">
        <w:rPr>
          <w:rFonts w:cstheme="minorHAnsi"/>
          <w:szCs w:val="20"/>
        </w:rPr>
        <w:t xml:space="preserve"> a regulatory framework to support only the spectrometric analysis of cane sugar by NIR instruments, with the option for NIR instruments to be pattern approved and verified for measuring reflectance (absorbance) across NIR spectrum.</w:t>
      </w:r>
    </w:p>
    <w:p w14:paraId="67297D32" w14:textId="112DFD68" w:rsidR="00717D6B" w:rsidRPr="003865B2" w:rsidRDefault="00717D6B" w:rsidP="00717D6B">
      <w:pPr>
        <w:numPr>
          <w:ilvl w:val="0"/>
          <w:numId w:val="20"/>
        </w:numPr>
        <w:spacing w:before="120" w:after="0"/>
        <w:jc w:val="both"/>
        <w:rPr>
          <w:rFonts w:cstheme="minorHAnsi"/>
          <w:szCs w:val="20"/>
        </w:rPr>
      </w:pPr>
      <w:r w:rsidRPr="003865B2">
        <w:rPr>
          <w:rFonts w:cstheme="minorHAnsi"/>
          <w:szCs w:val="20"/>
        </w:rPr>
        <w:t xml:space="preserve">NMI </w:t>
      </w:r>
      <w:r w:rsidR="00B655DE">
        <w:rPr>
          <w:rFonts w:cstheme="minorHAnsi"/>
          <w:szCs w:val="20"/>
        </w:rPr>
        <w:t>assists</w:t>
      </w:r>
      <w:r w:rsidR="00B655DE" w:rsidRPr="003865B2">
        <w:rPr>
          <w:rFonts w:cstheme="minorHAnsi"/>
          <w:szCs w:val="20"/>
        </w:rPr>
        <w:t xml:space="preserve"> </w:t>
      </w:r>
      <w:r w:rsidRPr="003865B2">
        <w:rPr>
          <w:rFonts w:cstheme="minorHAnsi"/>
          <w:szCs w:val="20"/>
        </w:rPr>
        <w:t>industry in maintaining an auditable library of profiles to predict Pol, Brix and Fibre for sugar cane samples. (Note: These profiles would not be approved by NMI, but could be audited by NMI to ensure consistency of Pol, Brix and Fibre values against other approved instruments such as weighing instruments, polarimeters or brix hydrometer.)</w:t>
      </w:r>
    </w:p>
    <w:p w14:paraId="4F04E65B" w14:textId="77777777" w:rsidR="008B436C" w:rsidRDefault="008B436C">
      <w:pPr>
        <w:spacing w:after="200"/>
        <w:rPr>
          <w:rFonts w:asciiTheme="majorHAnsi" w:eastAsiaTheme="majorEastAsia" w:hAnsiTheme="majorHAnsi" w:cstheme="majorBidi"/>
          <w:b/>
          <w:bCs/>
          <w:color w:val="7C1222" w:themeColor="accent1" w:themeShade="BF"/>
          <w:sz w:val="28"/>
          <w:szCs w:val="28"/>
        </w:rPr>
      </w:pPr>
      <w:r>
        <w:br w:type="page"/>
      </w:r>
    </w:p>
    <w:p w14:paraId="4185BED0" w14:textId="787F8457" w:rsidR="008B6BB3" w:rsidRPr="003567EE" w:rsidRDefault="008B6BB3" w:rsidP="008B6BB3">
      <w:pPr>
        <w:pStyle w:val="Heading1"/>
      </w:pPr>
      <w:bookmarkStart w:id="7" w:name="_Toc3994635"/>
      <w:r w:rsidRPr="003567EE">
        <w:lastRenderedPageBreak/>
        <w:t>Providing Your Feedback</w:t>
      </w:r>
      <w:bookmarkEnd w:id="7"/>
    </w:p>
    <w:p w14:paraId="42F60B7A" w14:textId="77777777" w:rsidR="008B6BB3" w:rsidRPr="003567EE" w:rsidRDefault="008B6BB3" w:rsidP="008B6BB3">
      <w:pPr>
        <w:spacing w:before="120" w:after="0"/>
        <w:rPr>
          <w:rFonts w:ascii="Arial" w:eastAsia="Arial" w:hAnsi="Arial"/>
        </w:rPr>
      </w:pPr>
      <w:r w:rsidRPr="003567EE">
        <w:rPr>
          <w:rFonts w:ascii="Arial" w:eastAsia="Arial" w:hAnsi="Arial"/>
        </w:rPr>
        <w:t xml:space="preserve">NMI invites stakeholders to take part in consultation on the proposed </w:t>
      </w:r>
      <w:r>
        <w:rPr>
          <w:rFonts w:ascii="Arial" w:eastAsia="Arial" w:hAnsi="Arial"/>
        </w:rPr>
        <w:t>regulatory framework for NIR instruments used in the sugar industry for trade measurement of quality parameters</w:t>
      </w:r>
      <w:r w:rsidRPr="003567EE">
        <w:rPr>
          <w:rFonts w:ascii="Arial" w:eastAsia="Arial" w:hAnsi="Arial"/>
        </w:rPr>
        <w:t>.</w:t>
      </w:r>
    </w:p>
    <w:p w14:paraId="74231FF5" w14:textId="02DD7A4B" w:rsidR="008B6BB3" w:rsidRDefault="008B6BB3" w:rsidP="008B6BB3">
      <w:pPr>
        <w:spacing w:before="120" w:after="0"/>
        <w:rPr>
          <w:rFonts w:ascii="Arial" w:eastAsia="Arial" w:hAnsi="Arial"/>
        </w:rPr>
      </w:pPr>
      <w:r w:rsidRPr="003567EE">
        <w:rPr>
          <w:rFonts w:ascii="Arial" w:eastAsia="Arial" w:hAnsi="Arial"/>
        </w:rPr>
        <w:t>Stakeholders are specifically invited to provide feedback and comment on the following</w:t>
      </w:r>
      <w:r w:rsidR="00BA41F6">
        <w:rPr>
          <w:rFonts w:ascii="Arial" w:eastAsia="Arial" w:hAnsi="Arial"/>
        </w:rPr>
        <w:t xml:space="preserve"> questions</w:t>
      </w:r>
      <w:r w:rsidRPr="003567EE">
        <w:rPr>
          <w:rFonts w:ascii="Arial" w:eastAsia="Arial" w:hAnsi="Arial"/>
        </w:rPr>
        <w:t>:</w:t>
      </w:r>
    </w:p>
    <w:p w14:paraId="7D6EFC0A" w14:textId="1FE42FE1" w:rsidR="008B6BB3" w:rsidRPr="008B436C" w:rsidRDefault="008B6BB3" w:rsidP="008B436C">
      <w:pPr>
        <w:pStyle w:val="ListParagraph"/>
        <w:numPr>
          <w:ilvl w:val="0"/>
          <w:numId w:val="24"/>
        </w:numPr>
        <w:spacing w:before="240" w:after="240"/>
        <w:ind w:left="357" w:hanging="357"/>
        <w:contextualSpacing w:val="0"/>
        <w:rPr>
          <w:rFonts w:eastAsiaTheme="majorEastAsia" w:cstheme="minorHAnsi"/>
          <w:b/>
          <w:bCs/>
          <w:szCs w:val="20"/>
        </w:rPr>
      </w:pPr>
      <w:r w:rsidRPr="008B6BB3">
        <w:rPr>
          <w:rFonts w:eastAsiaTheme="majorEastAsia" w:cstheme="minorHAnsi"/>
          <w:b/>
          <w:bCs/>
          <w:szCs w:val="20"/>
        </w:rPr>
        <w:t>Do you agree with the proposed NMI’s regulatory engagement?</w:t>
      </w:r>
    </w:p>
    <w:p w14:paraId="5858FEB3" w14:textId="4ACE6D4F" w:rsidR="008B6BB3" w:rsidRPr="008B436C" w:rsidRDefault="008B6BB3" w:rsidP="008B436C">
      <w:pPr>
        <w:pStyle w:val="ListParagraph"/>
        <w:numPr>
          <w:ilvl w:val="0"/>
          <w:numId w:val="24"/>
        </w:numPr>
        <w:spacing w:after="240"/>
        <w:ind w:left="357" w:hanging="357"/>
        <w:contextualSpacing w:val="0"/>
        <w:rPr>
          <w:rFonts w:eastAsiaTheme="majorEastAsia" w:cstheme="minorHAnsi"/>
          <w:b/>
          <w:bCs/>
          <w:szCs w:val="20"/>
        </w:rPr>
      </w:pPr>
      <w:r w:rsidRPr="008B6BB3">
        <w:rPr>
          <w:rFonts w:eastAsiaTheme="majorEastAsia" w:cstheme="minorHAnsi"/>
          <w:b/>
          <w:bCs/>
          <w:szCs w:val="20"/>
        </w:rPr>
        <w:t>What would be the benefits and risks to your business under the proposed regulatory framework for NIR instruments?</w:t>
      </w:r>
    </w:p>
    <w:p w14:paraId="72FD385B" w14:textId="73F6D739" w:rsidR="008B6BB3" w:rsidRPr="008B436C" w:rsidRDefault="008B6BB3" w:rsidP="008B436C">
      <w:pPr>
        <w:pStyle w:val="ListParagraph"/>
        <w:numPr>
          <w:ilvl w:val="0"/>
          <w:numId w:val="24"/>
        </w:numPr>
        <w:spacing w:after="240"/>
        <w:ind w:left="357" w:hanging="357"/>
        <w:contextualSpacing w:val="0"/>
        <w:rPr>
          <w:rFonts w:eastAsiaTheme="majorEastAsia" w:cstheme="minorHAnsi"/>
          <w:b/>
          <w:bCs/>
          <w:szCs w:val="20"/>
        </w:rPr>
      </w:pPr>
      <w:r w:rsidRPr="008B6BB3">
        <w:rPr>
          <w:rFonts w:eastAsiaTheme="majorEastAsia" w:cstheme="minorHAnsi"/>
          <w:b/>
          <w:bCs/>
          <w:szCs w:val="20"/>
        </w:rPr>
        <w:t>Do you think the proposed regulatory framework would result in any associated delay costs for your business? If yes, please provide details.</w:t>
      </w:r>
    </w:p>
    <w:p w14:paraId="521F1D13" w14:textId="45485BF4" w:rsidR="00BA41F6" w:rsidRPr="008B436C" w:rsidRDefault="008B6BB3" w:rsidP="008B436C">
      <w:pPr>
        <w:pStyle w:val="ListParagraph"/>
        <w:numPr>
          <w:ilvl w:val="0"/>
          <w:numId w:val="24"/>
        </w:numPr>
        <w:spacing w:after="240"/>
        <w:ind w:left="357" w:hanging="357"/>
        <w:contextualSpacing w:val="0"/>
        <w:rPr>
          <w:rFonts w:eastAsiaTheme="majorEastAsia" w:cstheme="minorHAnsi"/>
          <w:b/>
          <w:bCs/>
          <w:szCs w:val="20"/>
        </w:rPr>
      </w:pPr>
      <w:r w:rsidRPr="008B6BB3">
        <w:rPr>
          <w:rFonts w:eastAsiaTheme="majorEastAsia" w:cstheme="minorHAnsi"/>
          <w:b/>
          <w:bCs/>
          <w:szCs w:val="20"/>
        </w:rPr>
        <w:t>Are there any other impacts, both positive and negative to your business that would occur as a result of implementing this proposed regulatory framework? If yes, please provide details.</w:t>
      </w:r>
    </w:p>
    <w:p w14:paraId="6B2B6A2F" w14:textId="4B2171A6" w:rsidR="006C3138" w:rsidRPr="008B6BB3" w:rsidRDefault="008B6BB3" w:rsidP="008B6BB3">
      <w:pPr>
        <w:rPr>
          <w:rFonts w:eastAsiaTheme="majorEastAsia" w:cstheme="minorHAnsi"/>
          <w:szCs w:val="20"/>
        </w:rPr>
      </w:pPr>
      <w:r w:rsidRPr="008B6BB3">
        <w:rPr>
          <w:rFonts w:eastAsiaTheme="majorEastAsia" w:cstheme="minorHAnsi"/>
          <w:szCs w:val="20"/>
        </w:rPr>
        <w:t xml:space="preserve">The public consultation process will commence on </w:t>
      </w:r>
      <w:r w:rsidRPr="008B6BB3">
        <w:rPr>
          <w:rFonts w:eastAsiaTheme="majorEastAsia" w:cstheme="minorHAnsi"/>
          <w:b/>
          <w:szCs w:val="20"/>
        </w:rPr>
        <w:t>21 March 2019</w:t>
      </w:r>
      <w:r w:rsidRPr="008B6BB3">
        <w:rPr>
          <w:rFonts w:eastAsiaTheme="majorEastAsia" w:cstheme="minorHAnsi"/>
          <w:szCs w:val="20"/>
        </w:rPr>
        <w:t xml:space="preserve">, with the closing date for submissions and comments being </w:t>
      </w:r>
      <w:r w:rsidR="00337424">
        <w:rPr>
          <w:rFonts w:eastAsiaTheme="majorEastAsia" w:cstheme="minorHAnsi"/>
          <w:b/>
          <w:szCs w:val="20"/>
        </w:rPr>
        <w:t>24 May</w:t>
      </w:r>
      <w:r w:rsidRPr="008B6BB3">
        <w:rPr>
          <w:rFonts w:eastAsiaTheme="majorEastAsia" w:cstheme="minorHAnsi"/>
          <w:b/>
          <w:szCs w:val="20"/>
        </w:rPr>
        <w:t xml:space="preserve"> 2019</w:t>
      </w:r>
      <w:r w:rsidRPr="008B6BB3">
        <w:rPr>
          <w:rFonts w:eastAsiaTheme="majorEastAsia" w:cstheme="minorHAnsi"/>
          <w:szCs w:val="20"/>
        </w:rPr>
        <w:t>.</w:t>
      </w:r>
    </w:p>
    <w:p w14:paraId="533C5FFF" w14:textId="2D59AFF6" w:rsidR="008B6BB3" w:rsidRPr="008B6BB3" w:rsidRDefault="008B6BB3" w:rsidP="008B6BB3">
      <w:pPr>
        <w:rPr>
          <w:rFonts w:eastAsiaTheme="majorEastAsia" w:cstheme="minorHAnsi"/>
          <w:szCs w:val="20"/>
        </w:rPr>
      </w:pPr>
      <w:r w:rsidRPr="008B6BB3">
        <w:rPr>
          <w:rFonts w:eastAsiaTheme="majorEastAsia" w:cstheme="minorHAnsi"/>
          <w:szCs w:val="20"/>
        </w:rPr>
        <w:t xml:space="preserve">Your submission must reach NMI by 11:59 PM AEST on </w:t>
      </w:r>
      <w:r w:rsidR="00337424">
        <w:rPr>
          <w:rFonts w:eastAsiaTheme="majorEastAsia" w:cstheme="minorHAnsi"/>
          <w:b/>
          <w:szCs w:val="20"/>
        </w:rPr>
        <w:t>24 May</w:t>
      </w:r>
      <w:bookmarkStart w:id="8" w:name="_GoBack"/>
      <w:bookmarkEnd w:id="8"/>
      <w:r w:rsidRPr="008B6BB3">
        <w:rPr>
          <w:rFonts w:eastAsiaTheme="majorEastAsia" w:cstheme="minorHAnsi"/>
          <w:b/>
          <w:szCs w:val="20"/>
        </w:rPr>
        <w:t xml:space="preserve"> 2019</w:t>
      </w:r>
      <w:r w:rsidRPr="008B6BB3">
        <w:rPr>
          <w:rFonts w:eastAsiaTheme="majorEastAsia" w:cstheme="minorHAnsi"/>
          <w:szCs w:val="20"/>
        </w:rPr>
        <w:t>.</w:t>
      </w:r>
    </w:p>
    <w:p w14:paraId="62DC4FE2" w14:textId="191FA535" w:rsidR="00CE321E" w:rsidRPr="008B6BB3" w:rsidRDefault="008B6BB3" w:rsidP="00CE321E">
      <w:pPr>
        <w:rPr>
          <w:rFonts w:eastAsiaTheme="majorEastAsia" w:cstheme="minorHAnsi"/>
          <w:szCs w:val="20"/>
        </w:rPr>
      </w:pPr>
      <w:r w:rsidRPr="008B6BB3">
        <w:rPr>
          <w:rFonts w:eastAsiaTheme="majorEastAsia" w:cstheme="minorHAnsi"/>
          <w:szCs w:val="20"/>
        </w:rPr>
        <w:t>The Department prefers responses to the consultation paper are submitted online through the Department’s consultation hub</w:t>
      </w:r>
      <w:r w:rsidR="00CE321E">
        <w:rPr>
          <w:rFonts w:eastAsiaTheme="majorEastAsia" w:cstheme="minorHAnsi"/>
          <w:szCs w:val="20"/>
        </w:rPr>
        <w:t xml:space="preserve"> at</w:t>
      </w:r>
      <w:r w:rsidR="006C3138">
        <w:rPr>
          <w:rFonts w:eastAsiaTheme="majorEastAsia" w:cstheme="minorHAnsi"/>
          <w:szCs w:val="20"/>
        </w:rPr>
        <w:t xml:space="preserve"> </w:t>
      </w:r>
      <w:hyperlink r:id="rId17" w:history="1">
        <w:r w:rsidR="00CE321E" w:rsidRPr="002C5F05">
          <w:rPr>
            <w:rStyle w:val="Hyperlink"/>
            <w:lang w:val="en"/>
          </w:rPr>
          <w:t>https://consult.industry.gov.au/national-measurement-institute/nir-instruments-sugar-industry-regulatory-approach</w:t>
        </w:r>
      </w:hyperlink>
      <w:r w:rsidR="00CE321E">
        <w:rPr>
          <w:rStyle w:val="help-block"/>
          <w:lang w:val="en"/>
        </w:rPr>
        <w:t xml:space="preserve"> </w:t>
      </w:r>
    </w:p>
    <w:p w14:paraId="4E3BA77B" w14:textId="5A6A8054" w:rsidR="008B6BB3" w:rsidRDefault="006C3138" w:rsidP="008B6BB3">
      <w:pPr>
        <w:rPr>
          <w:rFonts w:eastAsiaTheme="majorEastAsia" w:cstheme="minorHAnsi"/>
          <w:szCs w:val="20"/>
        </w:rPr>
      </w:pPr>
      <w:r>
        <w:rPr>
          <w:rFonts w:eastAsiaTheme="majorEastAsia" w:cstheme="minorHAnsi"/>
          <w:szCs w:val="20"/>
        </w:rPr>
        <w:t xml:space="preserve">You can provide answers to the questions through an online survey or by uploading a written submission. </w:t>
      </w:r>
      <w:r w:rsidRPr="008B6BB3">
        <w:rPr>
          <w:rFonts w:eastAsiaTheme="majorEastAsia" w:cstheme="minorHAnsi"/>
          <w:szCs w:val="20"/>
        </w:rPr>
        <w:t>Attachments providing supporting evidence may also be included.</w:t>
      </w:r>
    </w:p>
    <w:p w14:paraId="6194FE76" w14:textId="07C24C6B" w:rsidR="008B6BB3" w:rsidRPr="008B6BB3" w:rsidRDefault="008B6BB3" w:rsidP="008B6BB3">
      <w:pPr>
        <w:rPr>
          <w:rFonts w:eastAsiaTheme="majorEastAsia" w:cstheme="minorHAnsi"/>
          <w:szCs w:val="20"/>
        </w:rPr>
      </w:pPr>
      <w:r w:rsidRPr="008B6BB3">
        <w:rPr>
          <w:rFonts w:eastAsiaTheme="majorEastAsia" w:cstheme="minorHAnsi"/>
          <w:szCs w:val="20"/>
        </w:rPr>
        <w:t xml:space="preserve">Alternatively, submissions can be made </w:t>
      </w:r>
      <w:r w:rsidR="002014B1">
        <w:rPr>
          <w:rFonts w:eastAsiaTheme="majorEastAsia" w:cstheme="minorHAnsi"/>
          <w:szCs w:val="20"/>
        </w:rPr>
        <w:t xml:space="preserve">via our Offline consultation form and submitted </w:t>
      </w:r>
      <w:r w:rsidRPr="008B6BB3">
        <w:rPr>
          <w:rFonts w:eastAsiaTheme="majorEastAsia" w:cstheme="minorHAnsi"/>
          <w:szCs w:val="20"/>
        </w:rPr>
        <w:t>by:</w:t>
      </w:r>
    </w:p>
    <w:p w14:paraId="2BF2DA79" w14:textId="73BCA17B" w:rsidR="008B6BB3" w:rsidRDefault="00C82280" w:rsidP="008B6BB3">
      <w:pPr>
        <w:pStyle w:val="ListParagraph"/>
        <w:numPr>
          <w:ilvl w:val="0"/>
          <w:numId w:val="25"/>
        </w:numPr>
        <w:spacing w:before="240" w:after="240"/>
        <w:ind w:left="357" w:hanging="357"/>
        <w:rPr>
          <w:rFonts w:eastAsiaTheme="majorEastAsia" w:cstheme="minorHAnsi"/>
          <w:szCs w:val="20"/>
        </w:rPr>
      </w:pPr>
      <w:r>
        <w:rPr>
          <w:rFonts w:eastAsiaTheme="majorEastAsia" w:cstheme="minorHAnsi"/>
          <w:szCs w:val="20"/>
        </w:rPr>
        <w:t>email</w:t>
      </w:r>
      <w:r w:rsidR="006C3138">
        <w:rPr>
          <w:rFonts w:eastAsiaTheme="majorEastAsia" w:cstheme="minorHAnsi"/>
          <w:szCs w:val="20"/>
        </w:rPr>
        <w:t xml:space="preserve"> to</w:t>
      </w:r>
      <w:r w:rsidR="008B6BB3" w:rsidRPr="008B6BB3">
        <w:rPr>
          <w:rFonts w:eastAsiaTheme="majorEastAsia" w:cstheme="minorHAnsi"/>
          <w:szCs w:val="20"/>
        </w:rPr>
        <w:t xml:space="preserve"> </w:t>
      </w:r>
      <w:hyperlink r:id="rId18" w:history="1">
        <w:r w:rsidR="008B6BB3" w:rsidRPr="006A52EE">
          <w:rPr>
            <w:rStyle w:val="Hyperlink"/>
            <w:rFonts w:eastAsiaTheme="majorEastAsia" w:cstheme="minorHAnsi"/>
            <w:szCs w:val="20"/>
          </w:rPr>
          <w:t>NMILegalMetrologyPolicy@measurement.gov.au</w:t>
        </w:r>
      </w:hyperlink>
      <w:r w:rsidR="008B6BB3">
        <w:rPr>
          <w:rFonts w:eastAsiaTheme="majorEastAsia" w:cstheme="minorHAnsi"/>
          <w:szCs w:val="20"/>
        </w:rPr>
        <w:t xml:space="preserve">, </w:t>
      </w:r>
      <w:r w:rsidR="008B6BB3" w:rsidRPr="008B6BB3">
        <w:rPr>
          <w:rFonts w:eastAsiaTheme="majorEastAsia" w:cstheme="minorHAnsi"/>
          <w:szCs w:val="20"/>
        </w:rPr>
        <w:t>with the subject heading ‘</w:t>
      </w:r>
      <w:r w:rsidR="008B6BB3">
        <w:rPr>
          <w:rFonts w:eastAsiaTheme="majorEastAsia" w:cstheme="minorHAnsi"/>
          <w:szCs w:val="20"/>
        </w:rPr>
        <w:t>NIR Consultation</w:t>
      </w:r>
      <w:r w:rsidR="008B6BB3" w:rsidRPr="008B6BB3">
        <w:rPr>
          <w:rFonts w:eastAsiaTheme="majorEastAsia" w:cstheme="minorHAnsi"/>
          <w:szCs w:val="20"/>
        </w:rPr>
        <w:t>’ and your company or individual name; or</w:t>
      </w:r>
    </w:p>
    <w:p w14:paraId="1EB41320" w14:textId="5CBAC51D" w:rsidR="008B6BB3" w:rsidRPr="008B6BB3" w:rsidRDefault="00C82280" w:rsidP="008B6BB3">
      <w:pPr>
        <w:pStyle w:val="ListParagraph"/>
        <w:numPr>
          <w:ilvl w:val="0"/>
          <w:numId w:val="25"/>
        </w:numPr>
        <w:spacing w:before="240"/>
        <w:rPr>
          <w:rFonts w:eastAsiaTheme="majorEastAsia" w:cstheme="minorHAnsi"/>
          <w:szCs w:val="20"/>
        </w:rPr>
      </w:pPr>
      <w:r>
        <w:rPr>
          <w:rFonts w:eastAsiaTheme="majorEastAsia" w:cstheme="minorHAnsi"/>
          <w:szCs w:val="20"/>
        </w:rPr>
        <w:t>post</w:t>
      </w:r>
      <w:r w:rsidR="008B6BB3" w:rsidRPr="008B6BB3">
        <w:rPr>
          <w:rFonts w:eastAsiaTheme="majorEastAsia" w:cstheme="minorHAnsi"/>
          <w:szCs w:val="20"/>
        </w:rPr>
        <w:t xml:space="preserve"> to Legal Metrology Branch, National Measurement Institute, GPO Box 2013, Canberra ACT 2601, marked Attention: ‘</w:t>
      </w:r>
      <w:r w:rsidR="008B6BB3">
        <w:rPr>
          <w:rFonts w:eastAsiaTheme="majorEastAsia" w:cstheme="minorHAnsi"/>
          <w:szCs w:val="20"/>
        </w:rPr>
        <w:t>NIR Consultation’</w:t>
      </w:r>
    </w:p>
    <w:p w14:paraId="7D4E6AD1" w14:textId="77777777" w:rsidR="008B6BB3" w:rsidRPr="008B6BB3" w:rsidRDefault="008B6BB3" w:rsidP="008B6BB3">
      <w:pPr>
        <w:rPr>
          <w:rFonts w:eastAsiaTheme="majorEastAsia" w:cstheme="minorHAnsi"/>
          <w:szCs w:val="20"/>
        </w:rPr>
      </w:pPr>
      <w:r w:rsidRPr="008B6BB3">
        <w:rPr>
          <w:rFonts w:eastAsiaTheme="majorEastAsia" w:cstheme="minorHAnsi"/>
          <w:szCs w:val="20"/>
        </w:rPr>
        <w:t>All information (including name and address) contained in formal submissions may be made available to the public on the Department’s consultation hub following the close of submissions, unless you request for your submission to be treated confidentially.</w:t>
      </w:r>
    </w:p>
    <w:p w14:paraId="4464DCF8" w14:textId="77777777" w:rsidR="008B6BB3" w:rsidRPr="008B6BB3" w:rsidRDefault="008B6BB3" w:rsidP="008B6BB3">
      <w:pPr>
        <w:spacing w:before="120"/>
        <w:rPr>
          <w:rFonts w:eastAsiaTheme="majorEastAsia" w:cstheme="minorHAnsi"/>
          <w:szCs w:val="20"/>
        </w:rPr>
      </w:pPr>
      <w:r w:rsidRPr="008B6BB3">
        <w:rPr>
          <w:rFonts w:eastAsiaTheme="majorEastAsia" w:cstheme="minorHAnsi"/>
          <w:szCs w:val="20"/>
        </w:rPr>
        <w:t>For this purpose, automatically generated confidentiality statements in emails will not be viewed as a request to consider your submission as confidential.</w:t>
      </w:r>
    </w:p>
    <w:p w14:paraId="6C7DF879" w14:textId="77777777" w:rsidR="008B6BB3" w:rsidRPr="008B6BB3" w:rsidRDefault="008B6BB3" w:rsidP="008B6BB3">
      <w:pPr>
        <w:pStyle w:val="Heading2"/>
      </w:pPr>
      <w:bookmarkStart w:id="9" w:name="_Toc3994636"/>
      <w:r w:rsidRPr="008B6BB3">
        <w:t>Providing a confidential submission</w:t>
      </w:r>
      <w:bookmarkEnd w:id="9"/>
    </w:p>
    <w:p w14:paraId="37B226C1" w14:textId="4B941AFB" w:rsidR="008B6BB3" w:rsidRPr="008B6BB3" w:rsidRDefault="008B6BB3" w:rsidP="008B6BB3">
      <w:pPr>
        <w:rPr>
          <w:rFonts w:eastAsiaTheme="majorEastAsia" w:cstheme="minorHAnsi"/>
          <w:szCs w:val="20"/>
        </w:rPr>
      </w:pPr>
      <w:r w:rsidRPr="008B6BB3">
        <w:rPr>
          <w:rFonts w:eastAsiaTheme="majorEastAsia" w:cstheme="minorHAnsi"/>
          <w:szCs w:val="20"/>
        </w:rPr>
        <w:t xml:space="preserve">If you wish to make a confidential submission, please </w:t>
      </w:r>
      <w:r w:rsidR="003F5936">
        <w:rPr>
          <w:rFonts w:eastAsiaTheme="majorEastAsia" w:cstheme="minorHAnsi"/>
          <w:szCs w:val="20"/>
        </w:rPr>
        <w:t>specify this requirement when proving feedback</w:t>
      </w:r>
      <w:r w:rsidRPr="008B6BB3">
        <w:rPr>
          <w:rFonts w:eastAsiaTheme="majorEastAsia" w:cstheme="minorHAnsi"/>
          <w:szCs w:val="20"/>
        </w:rPr>
        <w:t>.</w:t>
      </w:r>
    </w:p>
    <w:p w14:paraId="04B55B2C" w14:textId="48858A10" w:rsidR="008B6BB3" w:rsidRDefault="008B6BB3" w:rsidP="008B6BB3">
      <w:pPr>
        <w:rPr>
          <w:rFonts w:eastAsiaTheme="majorEastAsia" w:cstheme="minorHAnsi"/>
          <w:szCs w:val="20"/>
        </w:rPr>
      </w:pPr>
      <w:r w:rsidRPr="008B6BB3">
        <w:rPr>
          <w:rFonts w:eastAsiaTheme="majorEastAsia" w:cstheme="minorHAnsi"/>
          <w:szCs w:val="20"/>
        </w:rPr>
        <w:t>A request made under the Freedom of Information Act 1982 (Cth) for a submission marked ‘confidential’ to be made available will be determined in accordance with this Act.</w:t>
      </w:r>
    </w:p>
    <w:p w14:paraId="338D7DB2" w14:textId="7AD96540" w:rsidR="00810334" w:rsidRPr="008B6BB3" w:rsidRDefault="00810334" w:rsidP="008B6BB3">
      <w:pPr>
        <w:rPr>
          <w:rFonts w:eastAsiaTheme="majorEastAsia" w:cstheme="minorHAnsi"/>
          <w:szCs w:val="20"/>
        </w:rPr>
      </w:pPr>
      <w:r>
        <w:rPr>
          <w:rFonts w:eastAsiaTheme="majorEastAsia" w:cstheme="minorHAnsi"/>
          <w:szCs w:val="20"/>
        </w:rPr>
        <w:t xml:space="preserve">You can read a full Privacy Collection Statement </w:t>
      </w:r>
      <w:r w:rsidR="003A6A71">
        <w:rPr>
          <w:rFonts w:eastAsiaTheme="majorEastAsia" w:cstheme="minorHAnsi"/>
          <w:szCs w:val="20"/>
        </w:rPr>
        <w:t>in the O</w:t>
      </w:r>
      <w:r w:rsidR="00CE321E">
        <w:rPr>
          <w:rFonts w:eastAsiaTheme="majorEastAsia" w:cstheme="minorHAnsi"/>
          <w:szCs w:val="20"/>
        </w:rPr>
        <w:t xml:space="preserve">nline submission area </w:t>
      </w:r>
      <w:r w:rsidR="003A6A71">
        <w:rPr>
          <w:rFonts w:eastAsiaTheme="majorEastAsia" w:cstheme="minorHAnsi"/>
          <w:szCs w:val="20"/>
        </w:rPr>
        <w:t xml:space="preserve">or Offline submission form available </w:t>
      </w:r>
      <w:r>
        <w:rPr>
          <w:rFonts w:eastAsiaTheme="majorEastAsia" w:cstheme="minorHAnsi"/>
          <w:szCs w:val="20"/>
        </w:rPr>
        <w:t xml:space="preserve">on </w:t>
      </w:r>
      <w:r w:rsidR="00CE321E">
        <w:rPr>
          <w:rFonts w:eastAsiaTheme="majorEastAsia" w:cstheme="minorHAnsi"/>
          <w:szCs w:val="20"/>
        </w:rPr>
        <w:t xml:space="preserve">the consultation hub: </w:t>
      </w:r>
      <w:hyperlink r:id="rId19" w:history="1">
        <w:r w:rsidR="00CE321E" w:rsidRPr="002C5F05">
          <w:rPr>
            <w:rStyle w:val="Hyperlink"/>
            <w:lang w:val="en"/>
          </w:rPr>
          <w:t>https://consult.industry.gov.au/national-measurement-institute/nir-instruments-sugar-industry-regulatory-approach</w:t>
        </w:r>
      </w:hyperlink>
      <w:r w:rsidR="00CE321E">
        <w:rPr>
          <w:rStyle w:val="help-block"/>
          <w:lang w:val="en"/>
        </w:rPr>
        <w:t xml:space="preserve"> </w:t>
      </w:r>
      <w:bookmarkEnd w:id="0"/>
    </w:p>
    <w:sectPr w:rsidR="00810334" w:rsidRPr="008B6BB3" w:rsidSect="00497046">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EFD08" w14:textId="77777777" w:rsidR="001A72A6" w:rsidRDefault="001A72A6" w:rsidP="00B526AB">
      <w:pPr>
        <w:spacing w:after="0" w:line="240" w:lineRule="auto"/>
      </w:pPr>
      <w:r>
        <w:separator/>
      </w:r>
    </w:p>
  </w:endnote>
  <w:endnote w:type="continuationSeparator" w:id="0">
    <w:p w14:paraId="0169FABE" w14:textId="77777777" w:rsidR="001A72A6" w:rsidRDefault="001A72A6" w:rsidP="00B52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D83B7" w14:textId="41A38F28" w:rsidR="00585806" w:rsidRDefault="00585806">
    <w:pPr>
      <w:pStyle w:val="Footer"/>
    </w:pPr>
    <w:r>
      <w:rPr>
        <w:noProof/>
        <w:lang w:eastAsia="en-AU"/>
      </w:rPr>
      <w:drawing>
        <wp:anchor distT="0" distB="0" distL="114300" distR="114300" simplePos="0" relativeHeight="251660288" behindDoc="1" locked="0" layoutInCell="1" allowOverlap="1" wp14:anchorId="10C9ACD2" wp14:editId="1652650D">
          <wp:simplePos x="0" y="0"/>
          <wp:positionH relativeFrom="column">
            <wp:posOffset>-911860</wp:posOffset>
          </wp:positionH>
          <wp:positionV relativeFrom="paragraph">
            <wp:posOffset>67310</wp:posOffset>
          </wp:positionV>
          <wp:extent cx="7560000" cy="521064"/>
          <wp:effectExtent l="0" t="0" r="0" b="12700"/>
          <wp:wrapNone/>
          <wp:docPr id="3" name="Picture 3" descr="Report footer with URL" title="measurement.gov.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artmental_Word_footer_MAS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521064"/>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A9FC2" w14:textId="7A71BF86" w:rsidR="001A2DC6" w:rsidRDefault="001A2D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451FD" w14:textId="77777777" w:rsidR="001A72A6" w:rsidRDefault="001A72A6" w:rsidP="00B526AB">
      <w:pPr>
        <w:spacing w:after="0" w:line="240" w:lineRule="auto"/>
      </w:pPr>
      <w:r>
        <w:separator/>
      </w:r>
    </w:p>
  </w:footnote>
  <w:footnote w:type="continuationSeparator" w:id="0">
    <w:p w14:paraId="63EDFBED" w14:textId="77777777" w:rsidR="001A72A6" w:rsidRDefault="001A72A6" w:rsidP="00B526AB">
      <w:pPr>
        <w:spacing w:after="0" w:line="240" w:lineRule="auto"/>
      </w:pPr>
      <w:r>
        <w:continuationSeparator/>
      </w:r>
    </w:p>
  </w:footnote>
  <w:footnote w:id="1">
    <w:p w14:paraId="4FDD677F" w14:textId="77777777" w:rsidR="00E52F06" w:rsidRDefault="00E52F06" w:rsidP="00E52F06">
      <w:pPr>
        <w:pStyle w:val="FootnoteText"/>
      </w:pPr>
      <w:r>
        <w:rPr>
          <w:rStyle w:val="FootnoteReference"/>
        </w:rPr>
        <w:footnoteRef/>
      </w:r>
      <w:r>
        <w:t xml:space="preserve"> </w:t>
      </w:r>
      <w:r w:rsidRPr="004A0237">
        <w:t xml:space="preserve">A </w:t>
      </w:r>
      <w:r>
        <w:t xml:space="preserve">documentary </w:t>
      </w:r>
      <w:r w:rsidRPr="004A0237">
        <w:t>standard provides requirements, specifications, guidelines or characteristics that can be used consistently to ensure that materials, products, processes and services are fit for their purpose.</w:t>
      </w:r>
      <w:r>
        <w:t xml:space="preserve"> (</w:t>
      </w:r>
      <w:hyperlink r:id="rId1" w:history="1">
        <w:r w:rsidRPr="004A0237">
          <w:rPr>
            <w:rStyle w:val="Hyperlink"/>
          </w:rPr>
          <w:t>www.iso.org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0FD54" w14:textId="241B0B63" w:rsidR="00CB2680" w:rsidRDefault="00CB2680">
    <w:pPr>
      <w:pStyle w:val="Header"/>
    </w:pPr>
    <w:r>
      <w:rPr>
        <w:noProof/>
        <w:lang w:eastAsia="en-AU"/>
      </w:rPr>
      <w:drawing>
        <wp:anchor distT="0" distB="0" distL="114300" distR="114300" simplePos="0" relativeHeight="251658240" behindDoc="1" locked="0" layoutInCell="1" allowOverlap="1" wp14:anchorId="24B1A9BD" wp14:editId="54AA4333">
          <wp:simplePos x="0" y="0"/>
          <wp:positionH relativeFrom="page">
            <wp:align>right</wp:align>
          </wp:positionH>
          <wp:positionV relativeFrom="page">
            <wp:align>top</wp:align>
          </wp:positionV>
          <wp:extent cx="7558766" cy="10687686"/>
          <wp:effectExtent l="0" t="0" r="4445" b="0"/>
          <wp:wrapNone/>
          <wp:docPr id="2" name="Picture 2" descr="Report cover page with footer URL" title="Australian Government | National Measurement Institute | measurement.gov.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artmental_Word_update_slide_frontpage.jpg"/>
                  <pic:cNvPicPr/>
                </pic:nvPicPr>
                <pic:blipFill>
                  <a:blip r:embed="rId1">
                    <a:extLst>
                      <a:ext uri="{28A0092B-C50C-407E-A947-70E740481C1C}">
                        <a14:useLocalDpi xmlns:a14="http://schemas.microsoft.com/office/drawing/2010/main" val="0"/>
                      </a:ext>
                    </a:extLst>
                  </a:blip>
                  <a:stretch>
                    <a:fillRect/>
                  </a:stretch>
                </pic:blipFill>
                <pic:spPr>
                  <a:xfrm>
                    <a:off x="0" y="0"/>
                    <a:ext cx="7558766" cy="1068768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455314"/>
      <w:docPartObj>
        <w:docPartGallery w:val="Page Numbers (Top of Page)"/>
        <w:docPartUnique/>
      </w:docPartObj>
    </w:sdtPr>
    <w:sdtEndPr>
      <w:rPr>
        <w:noProof/>
      </w:rPr>
    </w:sdtEndPr>
    <w:sdtContent>
      <w:p w14:paraId="3664F666" w14:textId="6B92D4A3" w:rsidR="00091C7A" w:rsidRDefault="00091C7A">
        <w:pPr>
          <w:pStyle w:val="Header"/>
          <w:jc w:val="right"/>
        </w:pPr>
        <w:r>
          <w:fldChar w:fldCharType="begin"/>
        </w:r>
        <w:r>
          <w:instrText xml:space="preserve"> PAGE   \* MERGEFORMAT </w:instrText>
        </w:r>
        <w:r>
          <w:fldChar w:fldCharType="separate"/>
        </w:r>
        <w:r w:rsidR="002955CA">
          <w:rPr>
            <w:noProof/>
          </w:rPr>
          <w:t>3</w:t>
        </w:r>
        <w:r>
          <w:rPr>
            <w:noProof/>
          </w:rPr>
          <w:fldChar w:fldCharType="end"/>
        </w:r>
      </w:p>
    </w:sdtContent>
  </w:sdt>
  <w:p w14:paraId="654B21C9" w14:textId="40E2104A" w:rsidR="00CB2680" w:rsidRDefault="00497046">
    <w:pPr>
      <w:pStyle w:val="Header"/>
    </w:pPr>
    <w:r>
      <w:t xml:space="preserve">Use of </w:t>
    </w:r>
    <w:r w:rsidR="00D1354C">
      <w:t xml:space="preserve">NIR </w:t>
    </w:r>
    <w:r w:rsidR="009B508F">
      <w:t xml:space="preserve">instruments </w:t>
    </w:r>
    <w:r w:rsidR="00D1354C">
      <w:t xml:space="preserve">in </w:t>
    </w:r>
    <w:r w:rsidR="00467BEF">
      <w:t>the s</w:t>
    </w:r>
    <w:r w:rsidR="00D1354C">
      <w:t xml:space="preserve">ugar </w:t>
    </w:r>
    <w:r w:rsidR="009B508F">
      <w:t>i</w:t>
    </w:r>
    <w:r w:rsidR="00D1354C">
      <w:t>ndustry</w:t>
    </w:r>
    <w:r>
      <w:t xml:space="preserve"> for </w:t>
    </w:r>
    <w:r w:rsidR="009B508F">
      <w:t>t</w:t>
    </w:r>
    <w:r>
      <w:t xml:space="preserve">rade </w:t>
    </w:r>
    <w:r w:rsidR="00EA66BE">
      <w:t>purposes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C322E" w14:textId="77777777" w:rsidR="00CB2680" w:rsidRDefault="00CB26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F36FD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7CD5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82E9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B2EF1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56CB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F7456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5899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F05DB2"/>
    <w:lvl w:ilvl="0">
      <w:start w:val="1"/>
      <w:numFmt w:val="bullet"/>
      <w:pStyle w:val="ListBullet2"/>
      <w:lvlText w:val=""/>
      <w:lvlJc w:val="left"/>
      <w:pPr>
        <w:ind w:left="644" w:hanging="360"/>
      </w:pPr>
      <w:rPr>
        <w:rFonts w:ascii="Symbol" w:hAnsi="Symbol" w:hint="default"/>
        <w:b/>
        <w:i w:val="0"/>
        <w:color w:val="A6192E" w:themeColor="accent1"/>
      </w:rPr>
    </w:lvl>
  </w:abstractNum>
  <w:abstractNum w:abstractNumId="8" w15:restartNumberingAfterBreak="0">
    <w:nsid w:val="FFFFFF88"/>
    <w:multiLevelType w:val="singleLevel"/>
    <w:tmpl w:val="9350D2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1A1AA8"/>
    <w:lvl w:ilvl="0">
      <w:start w:val="1"/>
      <w:numFmt w:val="bullet"/>
      <w:pStyle w:val="ListBullet"/>
      <w:lvlText w:val=""/>
      <w:lvlJc w:val="left"/>
      <w:pPr>
        <w:ind w:left="360" w:hanging="360"/>
      </w:pPr>
      <w:rPr>
        <w:rFonts w:ascii="Symbol" w:hAnsi="Symbol" w:hint="default"/>
        <w:color w:val="A6192E" w:themeColor="accent1"/>
      </w:rPr>
    </w:lvl>
  </w:abstractNum>
  <w:abstractNum w:abstractNumId="10" w15:restartNumberingAfterBreak="0">
    <w:nsid w:val="05CF0682"/>
    <w:multiLevelType w:val="hybridMultilevel"/>
    <w:tmpl w:val="D10C61CE"/>
    <w:lvl w:ilvl="0" w:tplc="0C090011">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A574B92"/>
    <w:multiLevelType w:val="hybridMultilevel"/>
    <w:tmpl w:val="AB1256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6C9646C"/>
    <w:multiLevelType w:val="hybridMultilevel"/>
    <w:tmpl w:val="70028CF4"/>
    <w:lvl w:ilvl="0" w:tplc="0C090001">
      <w:start w:val="1"/>
      <w:numFmt w:val="bullet"/>
      <w:lvlText w:val=""/>
      <w:lvlJc w:val="left"/>
      <w:pPr>
        <w:ind w:left="1434" w:hanging="360"/>
      </w:pPr>
      <w:rPr>
        <w:rFonts w:ascii="Symbol" w:hAnsi="Symbol"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13" w15:restartNumberingAfterBreak="0">
    <w:nsid w:val="1AAF7113"/>
    <w:multiLevelType w:val="hybridMultilevel"/>
    <w:tmpl w:val="B362562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7897F8C"/>
    <w:multiLevelType w:val="hybridMultilevel"/>
    <w:tmpl w:val="1D6033D2"/>
    <w:lvl w:ilvl="0" w:tplc="0C09000B">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BE64900"/>
    <w:multiLevelType w:val="hybridMultilevel"/>
    <w:tmpl w:val="DB26D68E"/>
    <w:lvl w:ilvl="0" w:tplc="E31E93C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2C6B476D"/>
    <w:multiLevelType w:val="hybridMultilevel"/>
    <w:tmpl w:val="E28CC4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4887A3D"/>
    <w:multiLevelType w:val="hybridMultilevel"/>
    <w:tmpl w:val="AC5A8A2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C8F4F25"/>
    <w:multiLevelType w:val="hybridMultilevel"/>
    <w:tmpl w:val="21AAE51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54796901"/>
    <w:multiLevelType w:val="hybridMultilevel"/>
    <w:tmpl w:val="0ECCFD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8FA4A18"/>
    <w:multiLevelType w:val="hybridMultilevel"/>
    <w:tmpl w:val="61B0F4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B523554"/>
    <w:multiLevelType w:val="hybridMultilevel"/>
    <w:tmpl w:val="1E307ED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2" w15:restartNumberingAfterBreak="0">
    <w:nsid w:val="5FE23C32"/>
    <w:multiLevelType w:val="hybridMultilevel"/>
    <w:tmpl w:val="F612DB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5CB2EFD"/>
    <w:multiLevelType w:val="hybridMultilevel"/>
    <w:tmpl w:val="D990FC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581" w:hanging="360"/>
      </w:pPr>
      <w:rPr>
        <w:rFonts w:ascii="Courier New" w:hAnsi="Courier New" w:cs="Courier New" w:hint="default"/>
      </w:rPr>
    </w:lvl>
    <w:lvl w:ilvl="2" w:tplc="0C090005" w:tentative="1">
      <w:start w:val="1"/>
      <w:numFmt w:val="bullet"/>
      <w:lvlText w:val=""/>
      <w:lvlJc w:val="left"/>
      <w:pPr>
        <w:ind w:left="2301" w:hanging="360"/>
      </w:pPr>
      <w:rPr>
        <w:rFonts w:ascii="Wingdings" w:hAnsi="Wingdings" w:hint="default"/>
      </w:rPr>
    </w:lvl>
    <w:lvl w:ilvl="3" w:tplc="0C090001" w:tentative="1">
      <w:start w:val="1"/>
      <w:numFmt w:val="bullet"/>
      <w:lvlText w:val=""/>
      <w:lvlJc w:val="left"/>
      <w:pPr>
        <w:ind w:left="3021" w:hanging="360"/>
      </w:pPr>
      <w:rPr>
        <w:rFonts w:ascii="Symbol" w:hAnsi="Symbol" w:hint="default"/>
      </w:rPr>
    </w:lvl>
    <w:lvl w:ilvl="4" w:tplc="0C090003" w:tentative="1">
      <w:start w:val="1"/>
      <w:numFmt w:val="bullet"/>
      <w:lvlText w:val="o"/>
      <w:lvlJc w:val="left"/>
      <w:pPr>
        <w:ind w:left="3741" w:hanging="360"/>
      </w:pPr>
      <w:rPr>
        <w:rFonts w:ascii="Courier New" w:hAnsi="Courier New" w:cs="Courier New" w:hint="default"/>
      </w:rPr>
    </w:lvl>
    <w:lvl w:ilvl="5" w:tplc="0C090005" w:tentative="1">
      <w:start w:val="1"/>
      <w:numFmt w:val="bullet"/>
      <w:lvlText w:val=""/>
      <w:lvlJc w:val="left"/>
      <w:pPr>
        <w:ind w:left="4461" w:hanging="360"/>
      </w:pPr>
      <w:rPr>
        <w:rFonts w:ascii="Wingdings" w:hAnsi="Wingdings" w:hint="default"/>
      </w:rPr>
    </w:lvl>
    <w:lvl w:ilvl="6" w:tplc="0C090001" w:tentative="1">
      <w:start w:val="1"/>
      <w:numFmt w:val="bullet"/>
      <w:lvlText w:val=""/>
      <w:lvlJc w:val="left"/>
      <w:pPr>
        <w:ind w:left="5181" w:hanging="360"/>
      </w:pPr>
      <w:rPr>
        <w:rFonts w:ascii="Symbol" w:hAnsi="Symbol" w:hint="default"/>
      </w:rPr>
    </w:lvl>
    <w:lvl w:ilvl="7" w:tplc="0C090003" w:tentative="1">
      <w:start w:val="1"/>
      <w:numFmt w:val="bullet"/>
      <w:lvlText w:val="o"/>
      <w:lvlJc w:val="left"/>
      <w:pPr>
        <w:ind w:left="5901" w:hanging="360"/>
      </w:pPr>
      <w:rPr>
        <w:rFonts w:ascii="Courier New" w:hAnsi="Courier New" w:cs="Courier New" w:hint="default"/>
      </w:rPr>
    </w:lvl>
    <w:lvl w:ilvl="8" w:tplc="0C090005" w:tentative="1">
      <w:start w:val="1"/>
      <w:numFmt w:val="bullet"/>
      <w:lvlText w:val=""/>
      <w:lvlJc w:val="left"/>
      <w:pPr>
        <w:ind w:left="6621" w:hanging="360"/>
      </w:pPr>
      <w:rPr>
        <w:rFonts w:ascii="Wingdings" w:hAnsi="Wingdings" w:hint="default"/>
      </w:rPr>
    </w:lvl>
  </w:abstractNum>
  <w:abstractNum w:abstractNumId="24" w15:restartNumberingAfterBreak="0">
    <w:nsid w:val="78A9316B"/>
    <w:multiLevelType w:val="hybridMultilevel"/>
    <w:tmpl w:val="67F8343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2"/>
  </w:num>
  <w:num w:numId="13">
    <w:abstractNumId w:val="23"/>
  </w:num>
  <w:num w:numId="14">
    <w:abstractNumId w:val="16"/>
  </w:num>
  <w:num w:numId="15">
    <w:abstractNumId w:val="17"/>
  </w:num>
  <w:num w:numId="16">
    <w:abstractNumId w:val="19"/>
  </w:num>
  <w:num w:numId="17">
    <w:abstractNumId w:val="12"/>
  </w:num>
  <w:num w:numId="18">
    <w:abstractNumId w:val="14"/>
  </w:num>
  <w:num w:numId="19">
    <w:abstractNumId w:val="21"/>
  </w:num>
  <w:num w:numId="20">
    <w:abstractNumId w:val="15"/>
  </w:num>
  <w:num w:numId="21">
    <w:abstractNumId w:val="11"/>
  </w:num>
  <w:num w:numId="22">
    <w:abstractNumId w:val="18"/>
  </w:num>
  <w:num w:numId="23">
    <w:abstractNumId w:val="10"/>
  </w:num>
  <w:num w:numId="24">
    <w:abstractNumId w:val="2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B60"/>
    <w:rsid w:val="00015003"/>
    <w:rsid w:val="00055551"/>
    <w:rsid w:val="00070086"/>
    <w:rsid w:val="00091C7A"/>
    <w:rsid w:val="000956CC"/>
    <w:rsid w:val="000A1196"/>
    <w:rsid w:val="000C1601"/>
    <w:rsid w:val="000D2B10"/>
    <w:rsid w:val="00111754"/>
    <w:rsid w:val="001478C7"/>
    <w:rsid w:val="001612A7"/>
    <w:rsid w:val="00163B54"/>
    <w:rsid w:val="00182FC4"/>
    <w:rsid w:val="001912CB"/>
    <w:rsid w:val="0019691A"/>
    <w:rsid w:val="001A25AE"/>
    <w:rsid w:val="001A2DC6"/>
    <w:rsid w:val="001A3F33"/>
    <w:rsid w:val="001A4396"/>
    <w:rsid w:val="001A4518"/>
    <w:rsid w:val="001A72A6"/>
    <w:rsid w:val="001A7633"/>
    <w:rsid w:val="001F4D04"/>
    <w:rsid w:val="002014B1"/>
    <w:rsid w:val="0022001F"/>
    <w:rsid w:val="00223D4A"/>
    <w:rsid w:val="002300AC"/>
    <w:rsid w:val="00241165"/>
    <w:rsid w:val="00244596"/>
    <w:rsid w:val="00263E00"/>
    <w:rsid w:val="0027696D"/>
    <w:rsid w:val="00285682"/>
    <w:rsid w:val="00292A75"/>
    <w:rsid w:val="002955CA"/>
    <w:rsid w:val="002A1DA4"/>
    <w:rsid w:val="002B57BF"/>
    <w:rsid w:val="002D3954"/>
    <w:rsid w:val="002D579D"/>
    <w:rsid w:val="002D670D"/>
    <w:rsid w:val="002E14EA"/>
    <w:rsid w:val="002E201E"/>
    <w:rsid w:val="002E4984"/>
    <w:rsid w:val="002F65AF"/>
    <w:rsid w:val="00303562"/>
    <w:rsid w:val="00304F04"/>
    <w:rsid w:val="00306686"/>
    <w:rsid w:val="00337424"/>
    <w:rsid w:val="003567EE"/>
    <w:rsid w:val="0038060F"/>
    <w:rsid w:val="003819EE"/>
    <w:rsid w:val="0038442D"/>
    <w:rsid w:val="003865B2"/>
    <w:rsid w:val="003A6A71"/>
    <w:rsid w:val="003C56FB"/>
    <w:rsid w:val="003E1D58"/>
    <w:rsid w:val="003E3225"/>
    <w:rsid w:val="003F0ABC"/>
    <w:rsid w:val="003F31E2"/>
    <w:rsid w:val="003F5936"/>
    <w:rsid w:val="00402E42"/>
    <w:rsid w:val="00407ECA"/>
    <w:rsid w:val="004111E9"/>
    <w:rsid w:val="004122F2"/>
    <w:rsid w:val="0042026A"/>
    <w:rsid w:val="00430BD9"/>
    <w:rsid w:val="00436B60"/>
    <w:rsid w:val="004451F5"/>
    <w:rsid w:val="004461D1"/>
    <w:rsid w:val="00452BA6"/>
    <w:rsid w:val="00467BEF"/>
    <w:rsid w:val="00483F8D"/>
    <w:rsid w:val="00497046"/>
    <w:rsid w:val="004A3232"/>
    <w:rsid w:val="00550991"/>
    <w:rsid w:val="0055119F"/>
    <w:rsid w:val="005642F2"/>
    <w:rsid w:val="00584694"/>
    <w:rsid w:val="00585806"/>
    <w:rsid w:val="0059478F"/>
    <w:rsid w:val="005B6110"/>
    <w:rsid w:val="005C1653"/>
    <w:rsid w:val="005D0228"/>
    <w:rsid w:val="005E1166"/>
    <w:rsid w:val="005F1934"/>
    <w:rsid w:val="00602C92"/>
    <w:rsid w:val="00631015"/>
    <w:rsid w:val="0067103F"/>
    <w:rsid w:val="00695949"/>
    <w:rsid w:val="006A0EAA"/>
    <w:rsid w:val="006A0F7C"/>
    <w:rsid w:val="006C2852"/>
    <w:rsid w:val="006C3138"/>
    <w:rsid w:val="00717D6B"/>
    <w:rsid w:val="00723B30"/>
    <w:rsid w:val="007359BD"/>
    <w:rsid w:val="0074261B"/>
    <w:rsid w:val="00754739"/>
    <w:rsid w:val="00757954"/>
    <w:rsid w:val="007F182C"/>
    <w:rsid w:val="007F527C"/>
    <w:rsid w:val="00805FCF"/>
    <w:rsid w:val="00810334"/>
    <w:rsid w:val="00813BB1"/>
    <w:rsid w:val="00822068"/>
    <w:rsid w:val="00850038"/>
    <w:rsid w:val="0088639D"/>
    <w:rsid w:val="008A119A"/>
    <w:rsid w:val="008A7AF0"/>
    <w:rsid w:val="008B436C"/>
    <w:rsid w:val="008B6BB3"/>
    <w:rsid w:val="008D1FD3"/>
    <w:rsid w:val="009121DC"/>
    <w:rsid w:val="00937D29"/>
    <w:rsid w:val="009460C3"/>
    <w:rsid w:val="009517E6"/>
    <w:rsid w:val="00956813"/>
    <w:rsid w:val="00975726"/>
    <w:rsid w:val="00991FDD"/>
    <w:rsid w:val="00994492"/>
    <w:rsid w:val="009A0EF0"/>
    <w:rsid w:val="009B26D4"/>
    <w:rsid w:val="009B35E0"/>
    <w:rsid w:val="009B508F"/>
    <w:rsid w:val="009D1380"/>
    <w:rsid w:val="009D7BB6"/>
    <w:rsid w:val="009F11C0"/>
    <w:rsid w:val="00A51E16"/>
    <w:rsid w:val="00A7699A"/>
    <w:rsid w:val="00A82E85"/>
    <w:rsid w:val="00A8408E"/>
    <w:rsid w:val="00A85ADE"/>
    <w:rsid w:val="00A85BA1"/>
    <w:rsid w:val="00AA354F"/>
    <w:rsid w:val="00AF58BD"/>
    <w:rsid w:val="00B213AF"/>
    <w:rsid w:val="00B215C9"/>
    <w:rsid w:val="00B22F08"/>
    <w:rsid w:val="00B505F4"/>
    <w:rsid w:val="00B526AB"/>
    <w:rsid w:val="00B655DE"/>
    <w:rsid w:val="00B83001"/>
    <w:rsid w:val="00B979BC"/>
    <w:rsid w:val="00BA41F6"/>
    <w:rsid w:val="00C1643B"/>
    <w:rsid w:val="00C811F3"/>
    <w:rsid w:val="00C82280"/>
    <w:rsid w:val="00C87E9E"/>
    <w:rsid w:val="00C92A76"/>
    <w:rsid w:val="00C95DC5"/>
    <w:rsid w:val="00CA558B"/>
    <w:rsid w:val="00CB2680"/>
    <w:rsid w:val="00CB2D87"/>
    <w:rsid w:val="00CC2DCE"/>
    <w:rsid w:val="00CC7875"/>
    <w:rsid w:val="00CC7D17"/>
    <w:rsid w:val="00CE321E"/>
    <w:rsid w:val="00CF6700"/>
    <w:rsid w:val="00D06349"/>
    <w:rsid w:val="00D12BA2"/>
    <w:rsid w:val="00D133B9"/>
    <w:rsid w:val="00D1354C"/>
    <w:rsid w:val="00D13AA3"/>
    <w:rsid w:val="00D16778"/>
    <w:rsid w:val="00D57C05"/>
    <w:rsid w:val="00D6029F"/>
    <w:rsid w:val="00D87BC8"/>
    <w:rsid w:val="00DB1B1B"/>
    <w:rsid w:val="00DD7AF3"/>
    <w:rsid w:val="00DF26E4"/>
    <w:rsid w:val="00E4224B"/>
    <w:rsid w:val="00E51864"/>
    <w:rsid w:val="00E52F06"/>
    <w:rsid w:val="00E72774"/>
    <w:rsid w:val="00E81E8C"/>
    <w:rsid w:val="00EA66BE"/>
    <w:rsid w:val="00ED17D8"/>
    <w:rsid w:val="00ED77C8"/>
    <w:rsid w:val="00EF40E5"/>
    <w:rsid w:val="00EF6BC7"/>
    <w:rsid w:val="00F04837"/>
    <w:rsid w:val="00F11C75"/>
    <w:rsid w:val="00F25F29"/>
    <w:rsid w:val="00F73286"/>
    <w:rsid w:val="00F822DD"/>
    <w:rsid w:val="00F91ABF"/>
    <w:rsid w:val="00F93C03"/>
    <w:rsid w:val="00F94218"/>
    <w:rsid w:val="00FA7147"/>
    <w:rsid w:val="00FC70DE"/>
    <w:rsid w:val="00FD30A6"/>
    <w:rsid w:val="00FD5DE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ADE3B04"/>
  <w15:docId w15:val="{CE1A9195-D64D-476C-85DB-673A1291F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6AB"/>
    <w:pPr>
      <w:spacing w:after="120"/>
    </w:pPr>
    <w:rPr>
      <w:sz w:val="20"/>
    </w:rPr>
  </w:style>
  <w:style w:type="paragraph" w:styleId="Heading1">
    <w:name w:val="heading 1"/>
    <w:basedOn w:val="Normal"/>
    <w:next w:val="Normal"/>
    <w:link w:val="Heading1Char"/>
    <w:uiPriority w:val="9"/>
    <w:qFormat/>
    <w:rsid w:val="00975726"/>
    <w:pPr>
      <w:keepNext/>
      <w:keepLines/>
      <w:spacing w:before="480" w:after="0"/>
      <w:outlineLvl w:val="0"/>
    </w:pPr>
    <w:rPr>
      <w:rFonts w:asciiTheme="majorHAnsi" w:eastAsiaTheme="majorEastAsia" w:hAnsiTheme="majorHAnsi" w:cstheme="majorBidi"/>
      <w:b/>
      <w:bCs/>
      <w:color w:val="7C1222" w:themeColor="accent1" w:themeShade="BF"/>
      <w:sz w:val="28"/>
      <w:szCs w:val="28"/>
    </w:rPr>
  </w:style>
  <w:style w:type="paragraph" w:styleId="Heading2">
    <w:name w:val="heading 2"/>
    <w:basedOn w:val="Normal"/>
    <w:next w:val="Normal"/>
    <w:link w:val="Heading2Char"/>
    <w:uiPriority w:val="9"/>
    <w:unhideWhenUsed/>
    <w:qFormat/>
    <w:rsid w:val="00975726"/>
    <w:pPr>
      <w:keepNext/>
      <w:keepLines/>
      <w:spacing w:before="200" w:after="0"/>
      <w:outlineLvl w:val="1"/>
    </w:pPr>
    <w:rPr>
      <w:rFonts w:asciiTheme="majorHAnsi" w:eastAsiaTheme="majorEastAsia" w:hAnsiTheme="majorHAnsi" w:cstheme="majorBidi"/>
      <w:b/>
      <w:bCs/>
      <w:color w:val="A6192E" w:themeColor="accent1"/>
      <w:sz w:val="26"/>
      <w:szCs w:val="26"/>
    </w:rPr>
  </w:style>
  <w:style w:type="paragraph" w:styleId="Heading3">
    <w:name w:val="heading 3"/>
    <w:basedOn w:val="Normal"/>
    <w:next w:val="Normal"/>
    <w:link w:val="Heading3Char"/>
    <w:uiPriority w:val="9"/>
    <w:unhideWhenUsed/>
    <w:qFormat/>
    <w:rsid w:val="00822068"/>
    <w:pPr>
      <w:keepNext/>
      <w:keepLines/>
      <w:spacing w:before="200" w:after="0"/>
      <w:outlineLvl w:val="2"/>
    </w:pPr>
    <w:rPr>
      <w:rFonts w:asciiTheme="majorHAnsi" w:eastAsiaTheme="majorEastAsia" w:hAnsiTheme="majorHAnsi" w:cstheme="majorBidi"/>
      <w:b/>
      <w:bCs/>
      <w:color w:val="A6192E" w:themeColor="accent1"/>
    </w:rPr>
  </w:style>
  <w:style w:type="paragraph" w:styleId="Heading4">
    <w:name w:val="heading 4"/>
    <w:basedOn w:val="Normal"/>
    <w:next w:val="Normal"/>
    <w:link w:val="Heading4Char"/>
    <w:uiPriority w:val="9"/>
    <w:unhideWhenUsed/>
    <w:qFormat/>
    <w:rsid w:val="00822068"/>
    <w:pPr>
      <w:keepNext/>
      <w:keepLines/>
      <w:spacing w:before="200" w:after="0"/>
      <w:outlineLvl w:val="3"/>
    </w:pPr>
    <w:rPr>
      <w:rFonts w:asciiTheme="majorHAnsi" w:eastAsiaTheme="majorEastAsia" w:hAnsiTheme="majorHAnsi" w:cstheme="majorBidi"/>
      <w:b/>
      <w:bCs/>
      <w:i/>
      <w:iCs/>
      <w:color w:val="A6192E" w:themeColor="accent1"/>
    </w:rPr>
  </w:style>
  <w:style w:type="paragraph" w:styleId="Heading5">
    <w:name w:val="heading 5"/>
    <w:basedOn w:val="Normal"/>
    <w:next w:val="Normal"/>
    <w:link w:val="Heading5Char"/>
    <w:uiPriority w:val="9"/>
    <w:unhideWhenUsed/>
    <w:qFormat/>
    <w:rsid w:val="00822068"/>
    <w:pPr>
      <w:keepNext/>
      <w:keepLines/>
      <w:spacing w:before="200" w:after="0"/>
      <w:outlineLvl w:val="4"/>
    </w:pPr>
    <w:rPr>
      <w:rFonts w:asciiTheme="majorHAnsi" w:eastAsiaTheme="majorEastAsia" w:hAnsiTheme="majorHAnsi" w:cstheme="majorBidi"/>
      <w:color w:val="520C16"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5726"/>
    <w:pPr>
      <w:spacing w:after="0" w:line="240" w:lineRule="auto"/>
    </w:pPr>
  </w:style>
  <w:style w:type="character" w:customStyle="1" w:styleId="Heading1Char">
    <w:name w:val="Heading 1 Char"/>
    <w:basedOn w:val="DefaultParagraphFont"/>
    <w:link w:val="Heading1"/>
    <w:uiPriority w:val="9"/>
    <w:rsid w:val="00975726"/>
    <w:rPr>
      <w:rFonts w:asciiTheme="majorHAnsi" w:eastAsiaTheme="majorEastAsia" w:hAnsiTheme="majorHAnsi" w:cstheme="majorBidi"/>
      <w:b/>
      <w:bCs/>
      <w:color w:val="7C1222" w:themeColor="accent1" w:themeShade="BF"/>
      <w:sz w:val="28"/>
      <w:szCs w:val="28"/>
    </w:rPr>
  </w:style>
  <w:style w:type="character" w:customStyle="1" w:styleId="Heading2Char">
    <w:name w:val="Heading 2 Char"/>
    <w:basedOn w:val="DefaultParagraphFont"/>
    <w:link w:val="Heading2"/>
    <w:uiPriority w:val="9"/>
    <w:rsid w:val="00975726"/>
    <w:rPr>
      <w:rFonts w:asciiTheme="majorHAnsi" w:eastAsiaTheme="majorEastAsia" w:hAnsiTheme="majorHAnsi" w:cstheme="majorBidi"/>
      <w:b/>
      <w:bCs/>
      <w:color w:val="A6192E" w:themeColor="accent1"/>
      <w:sz w:val="26"/>
      <w:szCs w:val="26"/>
    </w:rPr>
  </w:style>
  <w:style w:type="paragraph" w:styleId="Title">
    <w:name w:val="Title"/>
    <w:basedOn w:val="Normal"/>
    <w:next w:val="Normal"/>
    <w:link w:val="TitleChar"/>
    <w:uiPriority w:val="10"/>
    <w:qFormat/>
    <w:rsid w:val="00EF6BC7"/>
    <w:pPr>
      <w:spacing w:before="8880" w:after="480" w:line="240" w:lineRule="auto"/>
      <w:contextualSpacing/>
    </w:pPr>
    <w:rPr>
      <w:rFonts w:asciiTheme="majorHAnsi" w:eastAsiaTheme="majorEastAsia" w:hAnsiTheme="majorHAnsi" w:cstheme="majorBidi"/>
      <w:b/>
      <w:color w:val="2C2C2D" w:themeColor="text2" w:themeShade="80"/>
      <w:spacing w:val="5"/>
      <w:kern w:val="28"/>
      <w:sz w:val="64"/>
      <w:szCs w:val="52"/>
    </w:rPr>
  </w:style>
  <w:style w:type="character" w:customStyle="1" w:styleId="TitleChar">
    <w:name w:val="Title Char"/>
    <w:basedOn w:val="DefaultParagraphFont"/>
    <w:link w:val="Title"/>
    <w:uiPriority w:val="10"/>
    <w:rsid w:val="00EF6BC7"/>
    <w:rPr>
      <w:rFonts w:asciiTheme="majorHAnsi" w:eastAsiaTheme="majorEastAsia" w:hAnsiTheme="majorHAnsi" w:cstheme="majorBidi"/>
      <w:b/>
      <w:color w:val="2C2C2D" w:themeColor="text2" w:themeShade="80"/>
      <w:spacing w:val="5"/>
      <w:kern w:val="28"/>
      <w:sz w:val="64"/>
      <w:szCs w:val="52"/>
    </w:rPr>
  </w:style>
  <w:style w:type="paragraph" w:styleId="Subtitle">
    <w:name w:val="Subtitle"/>
    <w:basedOn w:val="Normal"/>
    <w:next w:val="Normal"/>
    <w:link w:val="SubtitleChar"/>
    <w:uiPriority w:val="11"/>
    <w:qFormat/>
    <w:rsid w:val="005F1934"/>
    <w:pPr>
      <w:numPr>
        <w:ilvl w:val="1"/>
      </w:numPr>
    </w:pPr>
    <w:rPr>
      <w:rFonts w:asciiTheme="majorHAnsi" w:eastAsiaTheme="majorEastAsia" w:hAnsiTheme="majorHAnsi" w:cstheme="majorBidi"/>
      <w:iCs/>
      <w:color w:val="939598" w:themeColor="background2"/>
      <w:spacing w:val="15"/>
      <w:sz w:val="40"/>
      <w:szCs w:val="24"/>
    </w:rPr>
  </w:style>
  <w:style w:type="character" w:customStyle="1" w:styleId="SubtitleChar">
    <w:name w:val="Subtitle Char"/>
    <w:basedOn w:val="DefaultParagraphFont"/>
    <w:link w:val="Subtitle"/>
    <w:uiPriority w:val="11"/>
    <w:rsid w:val="005F1934"/>
    <w:rPr>
      <w:rFonts w:asciiTheme="majorHAnsi" w:eastAsiaTheme="majorEastAsia" w:hAnsiTheme="majorHAnsi" w:cstheme="majorBidi"/>
      <w:iCs/>
      <w:color w:val="939598" w:themeColor="background2"/>
      <w:spacing w:val="15"/>
      <w:sz w:val="40"/>
      <w:szCs w:val="24"/>
    </w:rPr>
  </w:style>
  <w:style w:type="character" w:styleId="Emphasis">
    <w:name w:val="Emphasis"/>
    <w:basedOn w:val="DefaultParagraphFont"/>
    <w:uiPriority w:val="20"/>
    <w:qFormat/>
    <w:rsid w:val="00975726"/>
    <w:rPr>
      <w:i/>
      <w:iCs/>
    </w:rPr>
  </w:style>
  <w:style w:type="character" w:styleId="Strong">
    <w:name w:val="Strong"/>
    <w:basedOn w:val="DefaultParagraphFont"/>
    <w:uiPriority w:val="22"/>
    <w:qFormat/>
    <w:rsid w:val="00975726"/>
    <w:rPr>
      <w:b/>
      <w:bCs/>
    </w:rPr>
  </w:style>
  <w:style w:type="character" w:styleId="Hyperlink">
    <w:name w:val="Hyperlink"/>
    <w:basedOn w:val="DefaultParagraphFont"/>
    <w:uiPriority w:val="99"/>
    <w:unhideWhenUsed/>
    <w:rsid w:val="00822068"/>
    <w:rPr>
      <w:color w:val="005677" w:themeColor="hyperlink"/>
      <w:u w:val="single"/>
    </w:rPr>
  </w:style>
  <w:style w:type="character" w:customStyle="1" w:styleId="Heading3Char">
    <w:name w:val="Heading 3 Char"/>
    <w:basedOn w:val="DefaultParagraphFont"/>
    <w:link w:val="Heading3"/>
    <w:uiPriority w:val="9"/>
    <w:rsid w:val="00822068"/>
    <w:rPr>
      <w:rFonts w:asciiTheme="majorHAnsi" w:eastAsiaTheme="majorEastAsia" w:hAnsiTheme="majorHAnsi" w:cstheme="majorBidi"/>
      <w:b/>
      <w:bCs/>
      <w:color w:val="A6192E" w:themeColor="accent1"/>
      <w:sz w:val="20"/>
    </w:rPr>
  </w:style>
  <w:style w:type="character" w:customStyle="1" w:styleId="Heading4Char">
    <w:name w:val="Heading 4 Char"/>
    <w:basedOn w:val="DefaultParagraphFont"/>
    <w:link w:val="Heading4"/>
    <w:uiPriority w:val="9"/>
    <w:rsid w:val="00822068"/>
    <w:rPr>
      <w:rFonts w:asciiTheme="majorHAnsi" w:eastAsiaTheme="majorEastAsia" w:hAnsiTheme="majorHAnsi" w:cstheme="majorBidi"/>
      <w:b/>
      <w:bCs/>
      <w:i/>
      <w:iCs/>
      <w:color w:val="A6192E" w:themeColor="accent1"/>
      <w:sz w:val="20"/>
    </w:rPr>
  </w:style>
  <w:style w:type="character" w:customStyle="1" w:styleId="Heading5Char">
    <w:name w:val="Heading 5 Char"/>
    <w:basedOn w:val="DefaultParagraphFont"/>
    <w:link w:val="Heading5"/>
    <w:uiPriority w:val="9"/>
    <w:rsid w:val="00822068"/>
    <w:rPr>
      <w:rFonts w:asciiTheme="majorHAnsi" w:eastAsiaTheme="majorEastAsia" w:hAnsiTheme="majorHAnsi" w:cstheme="majorBidi"/>
      <w:color w:val="520C16" w:themeColor="accent1" w:themeShade="7F"/>
      <w:sz w:val="20"/>
    </w:rPr>
  </w:style>
  <w:style w:type="table" w:styleId="TableGrid">
    <w:name w:val="Table Grid"/>
    <w:basedOn w:val="TableNormal"/>
    <w:uiPriority w:val="59"/>
    <w:rsid w:val="00822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822068"/>
    <w:pPr>
      <w:spacing w:after="0" w:line="240" w:lineRule="auto"/>
    </w:pPr>
    <w:tblPr>
      <w:tblStyleRowBandSize w:val="1"/>
      <w:tblStyleColBandSize w:val="1"/>
      <w:tblBorders>
        <w:top w:val="single" w:sz="8" w:space="0" w:color="A6192E" w:themeColor="accent1"/>
        <w:left w:val="single" w:sz="8" w:space="0" w:color="A6192E" w:themeColor="accent1"/>
        <w:bottom w:val="single" w:sz="8" w:space="0" w:color="A6192E" w:themeColor="accent1"/>
        <w:right w:val="single" w:sz="8" w:space="0" w:color="A6192E" w:themeColor="accent1"/>
      </w:tblBorders>
    </w:tblPr>
    <w:tblStylePr w:type="firstRow">
      <w:pPr>
        <w:spacing w:before="0" w:after="0" w:line="240" w:lineRule="auto"/>
      </w:pPr>
      <w:rPr>
        <w:b/>
        <w:bCs/>
        <w:color w:val="FFFFFF" w:themeColor="background1"/>
      </w:rPr>
      <w:tblPr/>
      <w:tcPr>
        <w:shd w:val="clear" w:color="auto" w:fill="A6192E" w:themeFill="accent1"/>
      </w:tcPr>
    </w:tblStylePr>
    <w:tblStylePr w:type="lastRow">
      <w:pPr>
        <w:spacing w:before="0" w:after="0" w:line="240" w:lineRule="auto"/>
      </w:pPr>
      <w:rPr>
        <w:b/>
        <w:bCs/>
      </w:rPr>
      <w:tblPr/>
      <w:tcPr>
        <w:tcBorders>
          <w:top w:val="double" w:sz="6" w:space="0" w:color="A6192E" w:themeColor="accent1"/>
          <w:left w:val="single" w:sz="8" w:space="0" w:color="A6192E" w:themeColor="accent1"/>
          <w:bottom w:val="single" w:sz="8" w:space="0" w:color="A6192E" w:themeColor="accent1"/>
          <w:right w:val="single" w:sz="8" w:space="0" w:color="A6192E" w:themeColor="accent1"/>
        </w:tcBorders>
      </w:tcPr>
    </w:tblStylePr>
    <w:tblStylePr w:type="firstCol">
      <w:rPr>
        <w:b/>
        <w:bCs/>
      </w:rPr>
    </w:tblStylePr>
    <w:tblStylePr w:type="lastCol">
      <w:rPr>
        <w:b/>
        <w:bCs/>
      </w:rPr>
    </w:tblStylePr>
    <w:tblStylePr w:type="band1Vert">
      <w:tblPr/>
      <w:tcPr>
        <w:tcBorders>
          <w:top w:val="single" w:sz="8" w:space="0" w:color="A6192E" w:themeColor="accent1"/>
          <w:left w:val="single" w:sz="8" w:space="0" w:color="A6192E" w:themeColor="accent1"/>
          <w:bottom w:val="single" w:sz="8" w:space="0" w:color="A6192E" w:themeColor="accent1"/>
          <w:right w:val="single" w:sz="8" w:space="0" w:color="A6192E" w:themeColor="accent1"/>
        </w:tcBorders>
      </w:tcPr>
    </w:tblStylePr>
    <w:tblStylePr w:type="band1Horz">
      <w:tblPr/>
      <w:tcPr>
        <w:tcBorders>
          <w:top w:val="single" w:sz="8" w:space="0" w:color="A6192E" w:themeColor="accent1"/>
          <w:left w:val="single" w:sz="8" w:space="0" w:color="A6192E" w:themeColor="accent1"/>
          <w:bottom w:val="single" w:sz="8" w:space="0" w:color="A6192E" w:themeColor="accent1"/>
          <w:right w:val="single" w:sz="8" w:space="0" w:color="A6192E" w:themeColor="accent1"/>
        </w:tcBorders>
      </w:tcPr>
    </w:tblStylePr>
  </w:style>
  <w:style w:type="table" w:styleId="LightList-Accent2">
    <w:name w:val="Light List Accent 2"/>
    <w:basedOn w:val="TableNormal"/>
    <w:uiPriority w:val="61"/>
    <w:rsid w:val="00822068"/>
    <w:pPr>
      <w:spacing w:after="0" w:line="240" w:lineRule="auto"/>
    </w:pPr>
    <w:tblPr>
      <w:tblStyleRowBandSize w:val="1"/>
      <w:tblStyleColBandSize w:val="1"/>
      <w:tblBorders>
        <w:top w:val="single" w:sz="8" w:space="0" w:color="572D2D" w:themeColor="accent2"/>
        <w:left w:val="single" w:sz="8" w:space="0" w:color="572D2D" w:themeColor="accent2"/>
        <w:bottom w:val="single" w:sz="8" w:space="0" w:color="572D2D" w:themeColor="accent2"/>
        <w:right w:val="single" w:sz="8" w:space="0" w:color="572D2D" w:themeColor="accent2"/>
      </w:tblBorders>
    </w:tblPr>
    <w:tblStylePr w:type="firstRow">
      <w:pPr>
        <w:spacing w:before="0" w:after="0" w:line="240" w:lineRule="auto"/>
      </w:pPr>
      <w:rPr>
        <w:b/>
        <w:bCs/>
        <w:color w:val="FFFFFF" w:themeColor="background1"/>
      </w:rPr>
      <w:tblPr/>
      <w:tcPr>
        <w:shd w:val="clear" w:color="auto" w:fill="572D2D" w:themeFill="accent2"/>
      </w:tcPr>
    </w:tblStylePr>
    <w:tblStylePr w:type="lastRow">
      <w:pPr>
        <w:spacing w:before="0" w:after="0" w:line="240" w:lineRule="auto"/>
      </w:pPr>
      <w:rPr>
        <w:b/>
        <w:bCs/>
      </w:rPr>
      <w:tblPr/>
      <w:tcPr>
        <w:tcBorders>
          <w:top w:val="double" w:sz="6" w:space="0" w:color="572D2D" w:themeColor="accent2"/>
          <w:left w:val="single" w:sz="8" w:space="0" w:color="572D2D" w:themeColor="accent2"/>
          <w:bottom w:val="single" w:sz="8" w:space="0" w:color="572D2D" w:themeColor="accent2"/>
          <w:right w:val="single" w:sz="8" w:space="0" w:color="572D2D" w:themeColor="accent2"/>
        </w:tcBorders>
      </w:tcPr>
    </w:tblStylePr>
    <w:tblStylePr w:type="firstCol">
      <w:rPr>
        <w:b/>
        <w:bCs/>
      </w:rPr>
    </w:tblStylePr>
    <w:tblStylePr w:type="lastCol">
      <w:rPr>
        <w:b/>
        <w:bCs/>
      </w:rPr>
    </w:tblStylePr>
    <w:tblStylePr w:type="band1Vert">
      <w:tblPr/>
      <w:tcPr>
        <w:tcBorders>
          <w:top w:val="single" w:sz="8" w:space="0" w:color="572D2D" w:themeColor="accent2"/>
          <w:left w:val="single" w:sz="8" w:space="0" w:color="572D2D" w:themeColor="accent2"/>
          <w:bottom w:val="single" w:sz="8" w:space="0" w:color="572D2D" w:themeColor="accent2"/>
          <w:right w:val="single" w:sz="8" w:space="0" w:color="572D2D" w:themeColor="accent2"/>
        </w:tcBorders>
      </w:tcPr>
    </w:tblStylePr>
    <w:tblStylePr w:type="band1Horz">
      <w:tblPr/>
      <w:tcPr>
        <w:tcBorders>
          <w:top w:val="single" w:sz="8" w:space="0" w:color="572D2D" w:themeColor="accent2"/>
          <w:left w:val="single" w:sz="8" w:space="0" w:color="572D2D" w:themeColor="accent2"/>
          <w:bottom w:val="single" w:sz="8" w:space="0" w:color="572D2D" w:themeColor="accent2"/>
          <w:right w:val="single" w:sz="8" w:space="0" w:color="572D2D" w:themeColor="accent2"/>
        </w:tcBorders>
      </w:tcPr>
    </w:tblStylePr>
  </w:style>
  <w:style w:type="table" w:styleId="LightList-Accent3">
    <w:name w:val="Light List Accent 3"/>
    <w:basedOn w:val="TableNormal"/>
    <w:uiPriority w:val="61"/>
    <w:rsid w:val="00822068"/>
    <w:pPr>
      <w:spacing w:after="0" w:line="240" w:lineRule="auto"/>
    </w:pPr>
    <w:tblPr>
      <w:tblStyleRowBandSize w:val="1"/>
      <w:tblStyleColBandSize w:val="1"/>
      <w:tblBorders>
        <w:top w:val="single" w:sz="8" w:space="0" w:color="71CC98" w:themeColor="accent3"/>
        <w:left w:val="single" w:sz="8" w:space="0" w:color="71CC98" w:themeColor="accent3"/>
        <w:bottom w:val="single" w:sz="8" w:space="0" w:color="71CC98" w:themeColor="accent3"/>
        <w:right w:val="single" w:sz="8" w:space="0" w:color="71CC98" w:themeColor="accent3"/>
      </w:tblBorders>
    </w:tblPr>
    <w:tblStylePr w:type="firstRow">
      <w:pPr>
        <w:spacing w:before="0" w:after="0" w:line="240" w:lineRule="auto"/>
      </w:pPr>
      <w:rPr>
        <w:b/>
        <w:bCs/>
        <w:color w:val="FFFFFF" w:themeColor="background1"/>
      </w:rPr>
      <w:tblPr/>
      <w:tcPr>
        <w:shd w:val="clear" w:color="auto" w:fill="71CC98" w:themeFill="accent3"/>
      </w:tcPr>
    </w:tblStylePr>
    <w:tblStylePr w:type="lastRow">
      <w:pPr>
        <w:spacing w:before="0" w:after="0" w:line="240" w:lineRule="auto"/>
      </w:pPr>
      <w:rPr>
        <w:b/>
        <w:bCs/>
      </w:rPr>
      <w:tblPr/>
      <w:tcPr>
        <w:tcBorders>
          <w:top w:val="double" w:sz="6" w:space="0" w:color="71CC98" w:themeColor="accent3"/>
          <w:left w:val="single" w:sz="8" w:space="0" w:color="71CC98" w:themeColor="accent3"/>
          <w:bottom w:val="single" w:sz="8" w:space="0" w:color="71CC98" w:themeColor="accent3"/>
          <w:right w:val="single" w:sz="8" w:space="0" w:color="71CC98" w:themeColor="accent3"/>
        </w:tcBorders>
      </w:tcPr>
    </w:tblStylePr>
    <w:tblStylePr w:type="firstCol">
      <w:rPr>
        <w:b/>
        <w:bCs/>
      </w:rPr>
    </w:tblStylePr>
    <w:tblStylePr w:type="lastCol">
      <w:rPr>
        <w:b/>
        <w:bCs/>
      </w:rPr>
    </w:tblStylePr>
    <w:tblStylePr w:type="band1Vert">
      <w:tblPr/>
      <w:tcPr>
        <w:tcBorders>
          <w:top w:val="single" w:sz="8" w:space="0" w:color="71CC98" w:themeColor="accent3"/>
          <w:left w:val="single" w:sz="8" w:space="0" w:color="71CC98" w:themeColor="accent3"/>
          <w:bottom w:val="single" w:sz="8" w:space="0" w:color="71CC98" w:themeColor="accent3"/>
          <w:right w:val="single" w:sz="8" w:space="0" w:color="71CC98" w:themeColor="accent3"/>
        </w:tcBorders>
      </w:tcPr>
    </w:tblStylePr>
    <w:tblStylePr w:type="band1Horz">
      <w:tblPr/>
      <w:tcPr>
        <w:tcBorders>
          <w:top w:val="single" w:sz="8" w:space="0" w:color="71CC98" w:themeColor="accent3"/>
          <w:left w:val="single" w:sz="8" w:space="0" w:color="71CC98" w:themeColor="accent3"/>
          <w:bottom w:val="single" w:sz="8" w:space="0" w:color="71CC98" w:themeColor="accent3"/>
          <w:right w:val="single" w:sz="8" w:space="0" w:color="71CC98" w:themeColor="accent3"/>
        </w:tcBorders>
      </w:tcPr>
    </w:tblStylePr>
  </w:style>
  <w:style w:type="table" w:styleId="LightList-Accent4">
    <w:name w:val="Light List Accent 4"/>
    <w:basedOn w:val="TableNormal"/>
    <w:uiPriority w:val="61"/>
    <w:rsid w:val="00822068"/>
    <w:pPr>
      <w:spacing w:after="0" w:line="240" w:lineRule="auto"/>
    </w:pPr>
    <w:tblPr>
      <w:tblStyleRowBandSize w:val="1"/>
      <w:tblStyleColBandSize w:val="1"/>
      <w:tblBorders>
        <w:top w:val="single" w:sz="8" w:space="0" w:color="B7B09C" w:themeColor="accent4"/>
        <w:left w:val="single" w:sz="8" w:space="0" w:color="B7B09C" w:themeColor="accent4"/>
        <w:bottom w:val="single" w:sz="8" w:space="0" w:color="B7B09C" w:themeColor="accent4"/>
        <w:right w:val="single" w:sz="8" w:space="0" w:color="B7B09C" w:themeColor="accent4"/>
      </w:tblBorders>
    </w:tblPr>
    <w:tblStylePr w:type="firstRow">
      <w:pPr>
        <w:spacing w:before="0" w:after="0" w:line="240" w:lineRule="auto"/>
      </w:pPr>
      <w:rPr>
        <w:b/>
        <w:bCs/>
        <w:color w:val="FFFFFF" w:themeColor="background1"/>
      </w:rPr>
      <w:tblPr/>
      <w:tcPr>
        <w:shd w:val="clear" w:color="auto" w:fill="B7B09C" w:themeFill="accent4"/>
      </w:tcPr>
    </w:tblStylePr>
    <w:tblStylePr w:type="lastRow">
      <w:pPr>
        <w:spacing w:before="0" w:after="0" w:line="240" w:lineRule="auto"/>
      </w:pPr>
      <w:rPr>
        <w:b/>
        <w:bCs/>
      </w:rPr>
      <w:tblPr/>
      <w:tcPr>
        <w:tcBorders>
          <w:top w:val="double" w:sz="6" w:space="0" w:color="B7B09C" w:themeColor="accent4"/>
          <w:left w:val="single" w:sz="8" w:space="0" w:color="B7B09C" w:themeColor="accent4"/>
          <w:bottom w:val="single" w:sz="8" w:space="0" w:color="B7B09C" w:themeColor="accent4"/>
          <w:right w:val="single" w:sz="8" w:space="0" w:color="B7B09C" w:themeColor="accent4"/>
        </w:tcBorders>
      </w:tcPr>
    </w:tblStylePr>
    <w:tblStylePr w:type="firstCol">
      <w:rPr>
        <w:b/>
        <w:bCs/>
      </w:rPr>
    </w:tblStylePr>
    <w:tblStylePr w:type="lastCol">
      <w:rPr>
        <w:b/>
        <w:bCs/>
      </w:rPr>
    </w:tblStylePr>
    <w:tblStylePr w:type="band1Vert">
      <w:tblPr/>
      <w:tcPr>
        <w:tcBorders>
          <w:top w:val="single" w:sz="8" w:space="0" w:color="B7B09C" w:themeColor="accent4"/>
          <w:left w:val="single" w:sz="8" w:space="0" w:color="B7B09C" w:themeColor="accent4"/>
          <w:bottom w:val="single" w:sz="8" w:space="0" w:color="B7B09C" w:themeColor="accent4"/>
          <w:right w:val="single" w:sz="8" w:space="0" w:color="B7B09C" w:themeColor="accent4"/>
        </w:tcBorders>
      </w:tcPr>
    </w:tblStylePr>
    <w:tblStylePr w:type="band1Horz">
      <w:tblPr/>
      <w:tcPr>
        <w:tcBorders>
          <w:top w:val="single" w:sz="8" w:space="0" w:color="B7B09C" w:themeColor="accent4"/>
          <w:left w:val="single" w:sz="8" w:space="0" w:color="B7B09C" w:themeColor="accent4"/>
          <w:bottom w:val="single" w:sz="8" w:space="0" w:color="B7B09C" w:themeColor="accent4"/>
          <w:right w:val="single" w:sz="8" w:space="0" w:color="B7B09C" w:themeColor="accent4"/>
        </w:tcBorders>
      </w:tcPr>
    </w:tblStylePr>
  </w:style>
  <w:style w:type="table" w:customStyle="1" w:styleId="Style1">
    <w:name w:val="Style1"/>
    <w:basedOn w:val="TableNormal"/>
    <w:uiPriority w:val="99"/>
    <w:rsid w:val="002E14EA"/>
    <w:pPr>
      <w:spacing w:after="0" w:line="240" w:lineRule="auto"/>
    </w:pPr>
    <w:rPr>
      <w:rFonts w:ascii="Arial" w:hAnsi="Arial"/>
      <w:color w:val="000000" w:themeColor="text1"/>
      <w:sz w:val="20"/>
    </w:rPr>
    <w:tblPr>
      <w:tblBorders>
        <w:bottom w:val="single" w:sz="2" w:space="0" w:color="A6192E" w:themeColor="accent1"/>
        <w:insideH w:val="single" w:sz="2" w:space="0" w:color="A6192E" w:themeColor="accent1"/>
      </w:tblBorders>
      <w:tblCellMar>
        <w:top w:w="85" w:type="dxa"/>
        <w:bottom w:w="85" w:type="dxa"/>
      </w:tblCellMar>
    </w:tblPr>
    <w:tcPr>
      <w:shd w:val="clear" w:color="auto" w:fill="auto"/>
      <w:vAlign w:val="center"/>
    </w:tcPr>
    <w:tblStylePr w:type="firstRow">
      <w:pPr>
        <w:jc w:val="left"/>
      </w:pPr>
      <w:rPr>
        <w:rFonts w:ascii="Arial" w:hAnsi="Arial"/>
        <w:b/>
        <w:color w:val="FFFFFF" w:themeColor="background1"/>
        <w:sz w:val="20"/>
      </w:rPr>
      <w:tblPr/>
      <w:tcPr>
        <w:shd w:val="clear" w:color="auto" w:fill="A6192E" w:themeFill="accent1"/>
      </w:tcPr>
    </w:tblStylePr>
    <w:tblStylePr w:type="lastRow">
      <w:pPr>
        <w:jc w:val="left"/>
      </w:pPr>
      <w:rPr>
        <w:rFonts w:ascii="Arial" w:hAnsi="Arial"/>
        <w:b/>
      </w:rPr>
    </w:tblStylePr>
    <w:tblStylePr w:type="firstCol">
      <w:rPr>
        <w:b/>
      </w:rPr>
    </w:tblStylePr>
  </w:style>
  <w:style w:type="paragraph" w:styleId="TOCHeading">
    <w:name w:val="TOC Heading"/>
    <w:basedOn w:val="Heading1"/>
    <w:next w:val="Normal"/>
    <w:uiPriority w:val="39"/>
    <w:unhideWhenUsed/>
    <w:qFormat/>
    <w:rsid w:val="00CB2680"/>
    <w:pPr>
      <w:spacing w:before="0" w:after="240"/>
      <w:outlineLvl w:val="9"/>
    </w:pPr>
    <w:rPr>
      <w:lang w:val="en-US" w:eastAsia="ja-JP"/>
    </w:rPr>
  </w:style>
  <w:style w:type="paragraph" w:styleId="TOC1">
    <w:name w:val="toc 1"/>
    <w:basedOn w:val="Normal"/>
    <w:next w:val="Normal"/>
    <w:autoRedefine/>
    <w:uiPriority w:val="39"/>
    <w:unhideWhenUsed/>
    <w:qFormat/>
    <w:rsid w:val="00D6029F"/>
    <w:pPr>
      <w:tabs>
        <w:tab w:val="right" w:leader="dot" w:pos="9016"/>
      </w:tabs>
      <w:spacing w:after="100"/>
    </w:pPr>
    <w:rPr>
      <w:sz w:val="24"/>
    </w:rPr>
  </w:style>
  <w:style w:type="paragraph" w:styleId="TOC2">
    <w:name w:val="toc 2"/>
    <w:basedOn w:val="Normal"/>
    <w:next w:val="Normal"/>
    <w:autoRedefine/>
    <w:uiPriority w:val="39"/>
    <w:unhideWhenUsed/>
    <w:qFormat/>
    <w:rsid w:val="00163B54"/>
    <w:pPr>
      <w:spacing w:after="100"/>
      <w:ind w:left="200"/>
    </w:pPr>
    <w:rPr>
      <w:color w:val="58595B" w:themeColor="text2"/>
    </w:rPr>
  </w:style>
  <w:style w:type="paragraph" w:styleId="TOC3">
    <w:name w:val="toc 3"/>
    <w:basedOn w:val="Normal"/>
    <w:next w:val="Normal"/>
    <w:autoRedefine/>
    <w:uiPriority w:val="39"/>
    <w:unhideWhenUsed/>
    <w:qFormat/>
    <w:rsid w:val="002E14EA"/>
    <w:pPr>
      <w:spacing w:after="100"/>
      <w:ind w:left="400"/>
    </w:pPr>
  </w:style>
  <w:style w:type="paragraph" w:styleId="BalloonText">
    <w:name w:val="Balloon Text"/>
    <w:basedOn w:val="Normal"/>
    <w:link w:val="BalloonTextChar"/>
    <w:uiPriority w:val="99"/>
    <w:semiHidden/>
    <w:unhideWhenUsed/>
    <w:rsid w:val="002E14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14EA"/>
    <w:rPr>
      <w:rFonts w:ascii="Tahoma" w:hAnsi="Tahoma" w:cs="Tahoma"/>
      <w:sz w:val="16"/>
      <w:szCs w:val="16"/>
    </w:rPr>
  </w:style>
  <w:style w:type="paragraph" w:styleId="ListBullet">
    <w:name w:val="List Bullet"/>
    <w:basedOn w:val="Normal"/>
    <w:uiPriority w:val="99"/>
    <w:unhideWhenUsed/>
    <w:rsid w:val="009D7BB6"/>
    <w:pPr>
      <w:numPr>
        <w:numId w:val="1"/>
      </w:numPr>
      <w:ind w:left="284" w:hanging="284"/>
      <w:contextualSpacing/>
    </w:pPr>
  </w:style>
  <w:style w:type="paragraph" w:styleId="ListBullet2">
    <w:name w:val="List Bullet 2"/>
    <w:basedOn w:val="Normal"/>
    <w:uiPriority w:val="99"/>
    <w:unhideWhenUsed/>
    <w:rsid w:val="002F65AF"/>
    <w:pPr>
      <w:numPr>
        <w:numId w:val="2"/>
      </w:numPr>
      <w:contextualSpacing/>
    </w:pPr>
  </w:style>
  <w:style w:type="paragraph" w:styleId="Quote">
    <w:name w:val="Quote"/>
    <w:basedOn w:val="Normal"/>
    <w:next w:val="Normal"/>
    <w:link w:val="QuoteChar"/>
    <w:uiPriority w:val="29"/>
    <w:qFormat/>
    <w:rsid w:val="009D7BB6"/>
    <w:pPr>
      <w:pBdr>
        <w:top w:val="single" w:sz="4" w:space="1" w:color="71CC98" w:themeColor="accent3"/>
        <w:bottom w:val="single" w:sz="4" w:space="1" w:color="71CC98" w:themeColor="accent3"/>
      </w:pBdr>
      <w:spacing w:before="240" w:after="240"/>
    </w:pPr>
    <w:rPr>
      <w:i/>
      <w:iCs/>
      <w:color w:val="A6192E" w:themeColor="accent1"/>
      <w:sz w:val="24"/>
    </w:rPr>
  </w:style>
  <w:style w:type="character" w:customStyle="1" w:styleId="QuoteChar">
    <w:name w:val="Quote Char"/>
    <w:basedOn w:val="DefaultParagraphFont"/>
    <w:link w:val="Quote"/>
    <w:uiPriority w:val="29"/>
    <w:rsid w:val="009D7BB6"/>
    <w:rPr>
      <w:i/>
      <w:iCs/>
      <w:color w:val="A6192E" w:themeColor="accent1"/>
      <w:sz w:val="24"/>
    </w:rPr>
  </w:style>
  <w:style w:type="character" w:styleId="SubtleEmphasis">
    <w:name w:val="Subtle Emphasis"/>
    <w:basedOn w:val="DefaultParagraphFont"/>
    <w:uiPriority w:val="19"/>
    <w:rsid w:val="005D0228"/>
    <w:rPr>
      <w:i/>
      <w:iCs/>
      <w:color w:val="808080" w:themeColor="text1" w:themeTint="7F"/>
      <w:sz w:val="28"/>
    </w:rPr>
  </w:style>
  <w:style w:type="character" w:styleId="IntenseEmphasis">
    <w:name w:val="Intense Emphasis"/>
    <w:basedOn w:val="DefaultParagraphFont"/>
    <w:uiPriority w:val="21"/>
    <w:qFormat/>
    <w:rsid w:val="005D0228"/>
    <w:rPr>
      <w:b/>
      <w:bCs/>
      <w:i/>
      <w:iCs/>
      <w:color w:val="A6192E" w:themeColor="accent1"/>
    </w:rPr>
  </w:style>
  <w:style w:type="paragraph" w:styleId="Caption">
    <w:name w:val="caption"/>
    <w:basedOn w:val="Normal"/>
    <w:next w:val="Normal"/>
    <w:uiPriority w:val="35"/>
    <w:unhideWhenUsed/>
    <w:qFormat/>
    <w:rsid w:val="00B526AB"/>
    <w:pPr>
      <w:spacing w:after="360" w:line="240" w:lineRule="auto"/>
    </w:pPr>
    <w:rPr>
      <w:bCs/>
      <w:color w:val="A6192E" w:themeColor="accent1"/>
      <w:sz w:val="18"/>
      <w:szCs w:val="18"/>
    </w:rPr>
  </w:style>
  <w:style w:type="character" w:customStyle="1" w:styleId="Tabletitle">
    <w:name w:val="Table title"/>
    <w:basedOn w:val="DefaultParagraphFont"/>
    <w:uiPriority w:val="1"/>
    <w:qFormat/>
    <w:rsid w:val="00D87BC8"/>
    <w:rPr>
      <w:b/>
      <w:color w:val="A6192E" w:themeColor="accent1"/>
    </w:rPr>
  </w:style>
  <w:style w:type="character" w:customStyle="1" w:styleId="Figuretitle">
    <w:name w:val="Figure title"/>
    <w:basedOn w:val="Tabletitle"/>
    <w:uiPriority w:val="1"/>
    <w:qFormat/>
    <w:rsid w:val="00D87BC8"/>
    <w:rPr>
      <w:b/>
      <w:color w:val="A6192E" w:themeColor="accent1"/>
    </w:rPr>
  </w:style>
  <w:style w:type="paragraph" w:customStyle="1" w:styleId="Credit">
    <w:name w:val="Credit"/>
    <w:basedOn w:val="Caption"/>
    <w:qFormat/>
    <w:rsid w:val="00A51E16"/>
    <w:rPr>
      <w:color w:val="58595B" w:themeColor="text2"/>
    </w:rPr>
  </w:style>
  <w:style w:type="paragraph" w:styleId="EndnoteText">
    <w:name w:val="endnote text"/>
    <w:basedOn w:val="Normal"/>
    <w:link w:val="EndnoteTextChar"/>
    <w:uiPriority w:val="99"/>
    <w:semiHidden/>
    <w:unhideWhenUsed/>
    <w:rsid w:val="00B526AB"/>
    <w:pPr>
      <w:spacing w:after="0" w:line="240" w:lineRule="auto"/>
    </w:pPr>
    <w:rPr>
      <w:szCs w:val="20"/>
    </w:rPr>
  </w:style>
  <w:style w:type="character" w:customStyle="1" w:styleId="EndnoteTextChar">
    <w:name w:val="Endnote Text Char"/>
    <w:basedOn w:val="DefaultParagraphFont"/>
    <w:link w:val="EndnoteText"/>
    <w:uiPriority w:val="99"/>
    <w:semiHidden/>
    <w:rsid w:val="00B526AB"/>
    <w:rPr>
      <w:sz w:val="20"/>
      <w:szCs w:val="20"/>
    </w:rPr>
  </w:style>
  <w:style w:type="character" w:styleId="EndnoteReference">
    <w:name w:val="endnote reference"/>
    <w:basedOn w:val="DefaultParagraphFont"/>
    <w:uiPriority w:val="99"/>
    <w:semiHidden/>
    <w:unhideWhenUsed/>
    <w:rsid w:val="00B526AB"/>
    <w:rPr>
      <w:vertAlign w:val="superscript"/>
    </w:rPr>
  </w:style>
  <w:style w:type="paragraph" w:styleId="FootnoteText">
    <w:name w:val="footnote text"/>
    <w:basedOn w:val="Normal"/>
    <w:link w:val="FootnoteTextChar"/>
    <w:uiPriority w:val="99"/>
    <w:unhideWhenUsed/>
    <w:rsid w:val="00B526AB"/>
    <w:pPr>
      <w:spacing w:after="60" w:line="240" w:lineRule="auto"/>
    </w:pPr>
    <w:rPr>
      <w:sz w:val="16"/>
      <w:szCs w:val="20"/>
    </w:rPr>
  </w:style>
  <w:style w:type="character" w:customStyle="1" w:styleId="FootnoteTextChar">
    <w:name w:val="Footnote Text Char"/>
    <w:basedOn w:val="DefaultParagraphFont"/>
    <w:link w:val="FootnoteText"/>
    <w:uiPriority w:val="99"/>
    <w:rsid w:val="00B526AB"/>
    <w:rPr>
      <w:sz w:val="16"/>
      <w:szCs w:val="20"/>
    </w:rPr>
  </w:style>
  <w:style w:type="character" w:styleId="FootnoteReference">
    <w:name w:val="footnote reference"/>
    <w:basedOn w:val="DefaultParagraphFont"/>
    <w:uiPriority w:val="99"/>
    <w:semiHidden/>
    <w:unhideWhenUsed/>
    <w:rsid w:val="00B526AB"/>
    <w:rPr>
      <w:vertAlign w:val="superscript"/>
    </w:rPr>
  </w:style>
  <w:style w:type="paragraph" w:customStyle="1" w:styleId="Casestudy">
    <w:name w:val="Case study"/>
    <w:basedOn w:val="Normal"/>
    <w:qFormat/>
    <w:rsid w:val="00244596"/>
    <w:pPr>
      <w:pBdr>
        <w:top w:val="single" w:sz="4" w:space="4" w:color="572D2D" w:themeColor="accent2"/>
        <w:left w:val="single" w:sz="4" w:space="4" w:color="572D2D" w:themeColor="accent2"/>
        <w:bottom w:val="single" w:sz="4" w:space="4" w:color="572D2D" w:themeColor="accent2"/>
        <w:right w:val="single" w:sz="4" w:space="4" w:color="572D2D" w:themeColor="accent2"/>
      </w:pBdr>
      <w:shd w:val="clear" w:color="auto" w:fill="F1E5E5" w:themeFill="accent2" w:themeFillTint="1A"/>
      <w:ind w:left="113" w:right="113"/>
    </w:pPr>
  </w:style>
  <w:style w:type="paragraph" w:customStyle="1" w:styleId="Casestudytitle">
    <w:name w:val="Case study title"/>
    <w:basedOn w:val="Casestudy"/>
    <w:qFormat/>
    <w:rsid w:val="002D3954"/>
    <w:pPr>
      <w:spacing w:before="360"/>
    </w:pPr>
    <w:rPr>
      <w:color w:val="572D2D" w:themeColor="accent2"/>
      <w:sz w:val="28"/>
    </w:rPr>
  </w:style>
  <w:style w:type="paragraph" w:customStyle="1" w:styleId="Casestudysource">
    <w:name w:val="Case study source"/>
    <w:basedOn w:val="Casestudy"/>
    <w:qFormat/>
    <w:rsid w:val="00F25F29"/>
    <w:pPr>
      <w:spacing w:before="240" w:after="480"/>
    </w:pPr>
    <w:rPr>
      <w:color w:val="572D2D" w:themeColor="accent2"/>
      <w:sz w:val="16"/>
    </w:rPr>
  </w:style>
  <w:style w:type="paragraph" w:styleId="Header">
    <w:name w:val="header"/>
    <w:basedOn w:val="Normal"/>
    <w:link w:val="HeaderChar"/>
    <w:uiPriority w:val="99"/>
    <w:unhideWhenUsed/>
    <w:rsid w:val="00991FDD"/>
    <w:pPr>
      <w:tabs>
        <w:tab w:val="center" w:pos="4320"/>
        <w:tab w:val="right" w:pos="8640"/>
      </w:tabs>
      <w:spacing w:after="0" w:line="240" w:lineRule="auto"/>
    </w:pPr>
  </w:style>
  <w:style w:type="character" w:customStyle="1" w:styleId="HeaderChar">
    <w:name w:val="Header Char"/>
    <w:basedOn w:val="DefaultParagraphFont"/>
    <w:link w:val="Header"/>
    <w:uiPriority w:val="99"/>
    <w:rsid w:val="00991FDD"/>
    <w:rPr>
      <w:sz w:val="20"/>
    </w:rPr>
  </w:style>
  <w:style w:type="paragraph" w:styleId="Footer">
    <w:name w:val="footer"/>
    <w:basedOn w:val="Normal"/>
    <w:link w:val="FooterChar"/>
    <w:uiPriority w:val="99"/>
    <w:unhideWhenUsed/>
    <w:rsid w:val="00991FDD"/>
    <w:pPr>
      <w:tabs>
        <w:tab w:val="center" w:pos="4320"/>
        <w:tab w:val="right" w:pos="8640"/>
      </w:tabs>
      <w:spacing w:after="0" w:line="240" w:lineRule="auto"/>
    </w:pPr>
  </w:style>
  <w:style w:type="character" w:customStyle="1" w:styleId="FooterChar">
    <w:name w:val="Footer Char"/>
    <w:basedOn w:val="DefaultParagraphFont"/>
    <w:link w:val="Footer"/>
    <w:uiPriority w:val="99"/>
    <w:rsid w:val="00991FDD"/>
    <w:rPr>
      <w:sz w:val="20"/>
    </w:rPr>
  </w:style>
  <w:style w:type="paragraph" w:styleId="ListParagraph">
    <w:name w:val="List Paragraph"/>
    <w:basedOn w:val="Normal"/>
    <w:uiPriority w:val="34"/>
    <w:qFormat/>
    <w:rsid w:val="0019691A"/>
    <w:pPr>
      <w:ind w:left="720"/>
      <w:contextualSpacing/>
    </w:pPr>
  </w:style>
  <w:style w:type="character" w:styleId="CommentReference">
    <w:name w:val="annotation reference"/>
    <w:basedOn w:val="DefaultParagraphFont"/>
    <w:uiPriority w:val="99"/>
    <w:semiHidden/>
    <w:unhideWhenUsed/>
    <w:rsid w:val="002D670D"/>
    <w:rPr>
      <w:sz w:val="16"/>
      <w:szCs w:val="16"/>
    </w:rPr>
  </w:style>
  <w:style w:type="paragraph" w:styleId="CommentText">
    <w:name w:val="annotation text"/>
    <w:basedOn w:val="Normal"/>
    <w:link w:val="CommentTextChar"/>
    <w:uiPriority w:val="99"/>
    <w:semiHidden/>
    <w:unhideWhenUsed/>
    <w:rsid w:val="002D670D"/>
    <w:pPr>
      <w:spacing w:line="240" w:lineRule="auto"/>
    </w:pPr>
    <w:rPr>
      <w:szCs w:val="20"/>
    </w:rPr>
  </w:style>
  <w:style w:type="character" w:customStyle="1" w:styleId="CommentTextChar">
    <w:name w:val="Comment Text Char"/>
    <w:basedOn w:val="DefaultParagraphFont"/>
    <w:link w:val="CommentText"/>
    <w:uiPriority w:val="99"/>
    <w:semiHidden/>
    <w:rsid w:val="002D670D"/>
    <w:rPr>
      <w:sz w:val="20"/>
      <w:szCs w:val="20"/>
    </w:rPr>
  </w:style>
  <w:style w:type="paragraph" w:styleId="CommentSubject">
    <w:name w:val="annotation subject"/>
    <w:basedOn w:val="CommentText"/>
    <w:next w:val="CommentText"/>
    <w:link w:val="CommentSubjectChar"/>
    <w:uiPriority w:val="99"/>
    <w:semiHidden/>
    <w:unhideWhenUsed/>
    <w:rsid w:val="002D670D"/>
    <w:rPr>
      <w:b/>
      <w:bCs/>
    </w:rPr>
  </w:style>
  <w:style w:type="character" w:customStyle="1" w:styleId="CommentSubjectChar">
    <w:name w:val="Comment Subject Char"/>
    <w:basedOn w:val="CommentTextChar"/>
    <w:link w:val="CommentSubject"/>
    <w:uiPriority w:val="99"/>
    <w:semiHidden/>
    <w:rsid w:val="002D670D"/>
    <w:rPr>
      <w:b/>
      <w:bCs/>
      <w:sz w:val="20"/>
      <w:szCs w:val="20"/>
    </w:rPr>
  </w:style>
  <w:style w:type="table" w:customStyle="1" w:styleId="TableGrid1">
    <w:name w:val="Table Grid1"/>
    <w:basedOn w:val="TableNormal"/>
    <w:next w:val="TableGrid"/>
    <w:uiPriority w:val="59"/>
    <w:rsid w:val="003567EE"/>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lp-block">
    <w:name w:val="help-block"/>
    <w:basedOn w:val="DefaultParagraphFont"/>
    <w:rsid w:val="00CE3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NMILegalMetrologyPolicy@measurement.gov.a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onsult.industry.gov.au/national-measurement-institute/nir-instruments-sugar-industry-regulatory-approach"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asurement.gov.au"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consult.industry.gov.au/national-measurement-institute/nir-instruments-sugar-industry-regulatory-approac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footnotes.xml.rels><?xml version="1.0" encoding="UTF-8" standalone="yes"?>
<Relationships xmlns="http://schemas.openxmlformats.org/package/2006/relationships"><Relationship Id="rId1" Type="http://schemas.openxmlformats.org/officeDocument/2006/relationships/hyperlink" Target="http://www.iso.org/iso/home/standards.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Science">
      <a:dk1>
        <a:sysClr val="windowText" lastClr="000000"/>
      </a:dk1>
      <a:lt1>
        <a:sysClr val="window" lastClr="FFFFFF"/>
      </a:lt1>
      <a:dk2>
        <a:srgbClr val="58595B"/>
      </a:dk2>
      <a:lt2>
        <a:srgbClr val="939598"/>
      </a:lt2>
      <a:accent1>
        <a:srgbClr val="A6192E"/>
      </a:accent1>
      <a:accent2>
        <a:srgbClr val="572D2D"/>
      </a:accent2>
      <a:accent3>
        <a:srgbClr val="71CC98"/>
      </a:accent3>
      <a:accent4>
        <a:srgbClr val="B7B09C"/>
      </a:accent4>
      <a:accent5>
        <a:srgbClr val="58595B"/>
      </a:accent5>
      <a:accent6>
        <a:srgbClr val="6D6E70"/>
      </a:accent6>
      <a:hlink>
        <a:srgbClr val="005677"/>
      </a:hlink>
      <a:folHlink>
        <a:srgbClr val="C973A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3537FC6FD94646A86461B35952B3B6" ma:contentTypeVersion="0" ma:contentTypeDescription="Create a new document." ma:contentTypeScope="" ma:versionID="983559623591219a4b403c2274f3518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08487-B632-4FBC-9D96-FEBE4DB1A5B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3649E11-EA8A-4FB0-95F2-ED9D7A39A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DD96561-863C-4F9F-9520-83330CD71F0E}">
  <ds:schemaRefs>
    <ds:schemaRef ds:uri="http://schemas.microsoft.com/sharepoint/v3/contenttype/forms"/>
  </ds:schemaRefs>
</ds:datastoreItem>
</file>

<file path=customXml/itemProps4.xml><?xml version="1.0" encoding="utf-8"?>
<ds:datastoreItem xmlns:ds="http://schemas.openxmlformats.org/officeDocument/2006/customXml" ds:itemID="{9118AD80-B9A9-4758-9722-D09F00A56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NMI Report cover template - no photo</vt:lpstr>
    </vt:vector>
  </TitlesOfParts>
  <Company>Australian Government | National Measurement Institute | measurement.gov.au</Company>
  <LinksUpToDate>false</LinksUpToDate>
  <CharactersWithSpaces>9283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NMI Report cover template - no photo</dc:title>
  <dc:creator>NMI</dc:creator>
  <cp:lastModifiedBy>Francis, Sophie</cp:lastModifiedBy>
  <cp:revision>3</cp:revision>
  <cp:lastPrinted>2019-04-24T04:51:00Z</cp:lastPrinted>
  <dcterms:created xsi:type="dcterms:W3CDTF">2019-04-24T04:51:00Z</dcterms:created>
  <dcterms:modified xsi:type="dcterms:W3CDTF">2019-04-24T04:53:00Z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0x010100013537FC6FD94646A86461B35952B3B6</vt:lpwstr>
  </property>
</Properties>
</file>