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C090" w14:textId="782B7C7C" w:rsidR="00DF696A" w:rsidRDefault="00DF696A" w:rsidP="00DF696A">
      <w:pPr>
        <w:spacing w:before="480" w:after="0"/>
        <w:rPr>
          <w:szCs w:val="32"/>
          <w:lang w:val="en-US"/>
        </w:rPr>
      </w:pPr>
      <w:bookmarkStart w:id="0" w:name="_Toc527534747"/>
      <w:r>
        <w:rPr>
          <w:noProof/>
          <w:lang w:eastAsia="en-AU"/>
        </w:rPr>
        <w:drawing>
          <wp:inline distT="0" distB="0" distL="0" distR="0" wp14:anchorId="5017D40F" wp14:editId="3D2F2515">
            <wp:extent cx="2238375" cy="709930"/>
            <wp:effectExtent l="0" t="0" r="9525" b="0"/>
            <wp:docPr id="5" name="Picture 5" descr="Crest of the Australian Government Department of Industry, Innovation and Science." title="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TCollins\AppData\Local\Microsoft\Windows\INetCache\Content.Word\DII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8375" cy="709930"/>
                    </a:xfrm>
                    <a:prstGeom prst="rect">
                      <a:avLst/>
                    </a:prstGeom>
                    <a:noFill/>
                    <a:ln>
                      <a:noFill/>
                    </a:ln>
                  </pic:spPr>
                </pic:pic>
              </a:graphicData>
            </a:graphic>
          </wp:inline>
        </w:drawing>
      </w:r>
    </w:p>
    <w:p w14:paraId="412C0FA8" w14:textId="027BFEE5" w:rsidR="00DF696A" w:rsidRDefault="00DF696A" w:rsidP="00DF696A">
      <w:pPr>
        <w:spacing w:before="3000" w:after="0"/>
        <w:rPr>
          <w:sz w:val="32"/>
          <w:szCs w:val="32"/>
          <w:lang w:val="en-US"/>
        </w:rPr>
      </w:pPr>
    </w:p>
    <w:p w14:paraId="5261747A" w14:textId="75D2FD5E" w:rsidR="00DF696A" w:rsidRPr="001A7E54" w:rsidRDefault="00DF696A" w:rsidP="00DF696A">
      <w:pPr>
        <w:pStyle w:val="Title"/>
        <w:rPr>
          <w:rFonts w:eastAsia="Arial" w:cstheme="majorHAnsi"/>
          <w:b w:val="0"/>
          <w:sz w:val="28"/>
          <w:szCs w:val="28"/>
          <w:shd w:val="clear" w:color="auto" w:fill="C973AF"/>
          <w:lang w:val="en-US"/>
        </w:rPr>
      </w:pPr>
      <w:r>
        <w:rPr>
          <w:b w:val="0"/>
          <w:lang w:val="en-US"/>
        </w:rPr>
        <w:t>GUIDE TO THE DISCUSSION PAPERS</w:t>
      </w:r>
    </w:p>
    <w:p w14:paraId="7FBE3AFE" w14:textId="77777777" w:rsidR="00DF696A" w:rsidRPr="00E16017" w:rsidRDefault="00DF696A" w:rsidP="00DF696A">
      <w:pPr>
        <w:spacing w:after="0"/>
        <w:rPr>
          <w:rFonts w:asciiTheme="majorHAnsi" w:eastAsia="Arial" w:hAnsiTheme="majorHAnsi" w:cstheme="majorHAnsi"/>
          <w:sz w:val="28"/>
          <w:szCs w:val="28"/>
          <w:shd w:val="clear" w:color="auto" w:fill="C973AF"/>
          <w:lang w:val="en-US"/>
        </w:rPr>
      </w:pPr>
      <w:r w:rsidRPr="00E16017">
        <w:rPr>
          <w:sz w:val="28"/>
          <w:szCs w:val="28"/>
          <w:lang w:val="en-US"/>
        </w:rPr>
        <w:t>Measurement Law Review</w:t>
      </w:r>
    </w:p>
    <w:p w14:paraId="3FEA17D6" w14:textId="77777777" w:rsidR="00DF696A" w:rsidRPr="00E16017" w:rsidRDefault="00DF696A" w:rsidP="00DF696A">
      <w:pPr>
        <w:spacing w:before="240"/>
        <w:rPr>
          <w:rStyle w:val="Hyperlink"/>
          <w:color w:val="auto"/>
        </w:rPr>
      </w:pPr>
      <w:r w:rsidRPr="00E16017">
        <w:rPr>
          <w:sz w:val="28"/>
          <w:szCs w:val="28"/>
          <w:lang w:val="en-US"/>
        </w:rPr>
        <w:t>2019</w:t>
      </w:r>
    </w:p>
    <w:p w14:paraId="12A1466F" w14:textId="77777777" w:rsidR="00DF696A" w:rsidRDefault="00DF696A" w:rsidP="00DF696A">
      <w:pPr>
        <w:rPr>
          <w:rFonts w:asciiTheme="majorHAnsi" w:eastAsiaTheme="majorEastAsia" w:hAnsiTheme="majorHAnsi" w:cstheme="majorBidi"/>
          <w:sz w:val="32"/>
          <w:szCs w:val="32"/>
        </w:rPr>
      </w:pPr>
      <w:r>
        <w:br w:type="page"/>
      </w:r>
    </w:p>
    <w:p w14:paraId="10CCED6D" w14:textId="201BF303" w:rsidR="00C54360" w:rsidRPr="00DE76D7" w:rsidRDefault="00DF696A" w:rsidP="00C54360">
      <w:pPr>
        <w:pStyle w:val="Heading1"/>
      </w:pPr>
      <w:r>
        <w:lastRenderedPageBreak/>
        <w:t>Introduction</w:t>
      </w:r>
      <w:bookmarkEnd w:id="0"/>
    </w:p>
    <w:p w14:paraId="0BA10412" w14:textId="6C13157D" w:rsidR="00DD5A96" w:rsidRDefault="00C54360" w:rsidP="00C54360">
      <w:r>
        <w:t xml:space="preserve">Initial public consultation for the Measurement Law Review has been broken down into six key topic papers that each focus on different aspects of the legislative framework but collectively cover the breadth of Australia’s measurement laws. Below </w:t>
      </w:r>
      <w:r w:rsidR="00DD5A96">
        <w:t>are</w:t>
      </w:r>
      <w:r>
        <w:t xml:space="preserve"> the topics for each paper, </w:t>
      </w:r>
      <w:r w:rsidR="00DD5A96">
        <w:t>details regarding the views we are seeking</w:t>
      </w:r>
      <w:r>
        <w:t xml:space="preserve"> and a reference guide to the relevant Parts of the </w:t>
      </w:r>
      <w:hyperlink r:id="rId13" w:history="1">
        <w:r w:rsidRPr="00764600">
          <w:rPr>
            <w:rStyle w:val="Hyperlink"/>
            <w:i/>
          </w:rPr>
          <w:t>National Measurement Act 1960</w:t>
        </w:r>
      </w:hyperlink>
      <w:r>
        <w:t xml:space="preserve"> .</w:t>
      </w:r>
    </w:p>
    <w:p w14:paraId="35192227" w14:textId="77777777" w:rsidR="00FB0E04" w:rsidRDefault="00FB0E04" w:rsidP="00C54360"/>
    <w:p w14:paraId="3DF3EB75" w14:textId="057702F4" w:rsidR="006F750E" w:rsidRDefault="006F750E" w:rsidP="00DF696A">
      <w:pPr>
        <w:pStyle w:val="Heading1"/>
      </w:pPr>
      <w:r>
        <w:t>Paper 1</w:t>
      </w:r>
      <w:r w:rsidR="00DD5A96">
        <w:t xml:space="preserve"> – Scope of Australia’s Measurement Laws</w:t>
      </w:r>
    </w:p>
    <w:p w14:paraId="26242DFE" w14:textId="1A4C8C5D" w:rsidR="006F750E" w:rsidRPr="00D41B4E" w:rsidRDefault="00DD5A96" w:rsidP="00C54360">
      <w:r w:rsidRPr="00D41B4E">
        <w:t>Sought</w:t>
      </w:r>
      <w:r w:rsidR="006F750E" w:rsidRPr="00D41B4E">
        <w:t xml:space="preserve"> views on </w:t>
      </w:r>
      <w:r w:rsidRPr="00D41B4E">
        <w:t>w</w:t>
      </w:r>
      <w:r w:rsidR="006F750E" w:rsidRPr="00D41B4E">
        <w:t xml:space="preserve">hat should and should not be addressed by Australia’s measurement laws. </w:t>
      </w:r>
      <w:r w:rsidR="006F750E" w:rsidRPr="00D41B4E">
        <w:rPr>
          <w:i/>
        </w:rPr>
        <w:t xml:space="preserve">Consultation </w:t>
      </w:r>
      <w:r w:rsidRPr="00D41B4E">
        <w:rPr>
          <w:i/>
        </w:rPr>
        <w:t xml:space="preserve">on this paper </w:t>
      </w:r>
      <w:r w:rsidR="006F750E" w:rsidRPr="00D41B4E">
        <w:rPr>
          <w:i/>
        </w:rPr>
        <w:t>has closed. To learn more about this consultation please visit</w:t>
      </w:r>
      <w:r w:rsidR="006F750E" w:rsidRPr="00D41B4E">
        <w:t xml:space="preserve"> </w:t>
      </w:r>
      <w:hyperlink r:id="rId14" w:history="1">
        <w:r w:rsidR="006F750E" w:rsidRPr="00D41B4E">
          <w:rPr>
            <w:rStyle w:val="Hyperlink"/>
          </w:rPr>
          <w:t>consult.industry.gov.au/measurement-law-review/scope/</w:t>
        </w:r>
      </w:hyperlink>
    </w:p>
    <w:p w14:paraId="4F570B5F" w14:textId="77777777" w:rsidR="006F750E" w:rsidRDefault="006F750E" w:rsidP="00C865F3">
      <w:pPr>
        <w:pStyle w:val="Heading2"/>
        <w:rPr>
          <w:rStyle w:val="Heading3Char"/>
        </w:rPr>
      </w:pPr>
      <w:r w:rsidRPr="00D41B4E">
        <w:rPr>
          <w:rStyle w:val="Heading3Char"/>
        </w:rPr>
        <w:t>Related National Measurement Act 1960 reference</w:t>
      </w:r>
    </w:p>
    <w:p w14:paraId="428090F0" w14:textId="0AB8E08F" w:rsidR="00FB0E04" w:rsidRPr="00D41B4E" w:rsidRDefault="006F750E" w:rsidP="006F750E">
      <w:r w:rsidRPr="00D41B4E">
        <w:rPr>
          <w:b/>
        </w:rPr>
        <w:t xml:space="preserve">National Measurement Institute and Chief </w:t>
      </w:r>
      <w:proofErr w:type="spellStart"/>
      <w:r w:rsidRPr="00D41B4E">
        <w:rPr>
          <w:b/>
        </w:rPr>
        <w:t>Metrologist</w:t>
      </w:r>
      <w:proofErr w:type="spellEnd"/>
      <w:r w:rsidRPr="00D41B4E">
        <w:rPr>
          <w:b/>
        </w:rPr>
        <w:t xml:space="preserve"> (Part III)</w:t>
      </w:r>
      <w:r w:rsidRPr="00D41B4E">
        <w:t xml:space="preserve"> – establishes the NMI and sets out the metrological functions of the Commonwealth. Creates the position of Chief </w:t>
      </w:r>
      <w:proofErr w:type="spellStart"/>
      <w:r w:rsidRPr="00D41B4E">
        <w:t>Metrologist</w:t>
      </w:r>
      <w:proofErr w:type="spellEnd"/>
      <w:r w:rsidRPr="00D41B4E">
        <w:t xml:space="preserve"> and identifies the functions of this position.</w:t>
      </w:r>
      <w:r w:rsidR="00D41B4E">
        <w:br/>
      </w:r>
    </w:p>
    <w:p w14:paraId="2B1DA51D" w14:textId="3D34821E" w:rsidR="006F750E" w:rsidRDefault="006F750E" w:rsidP="00DF696A">
      <w:pPr>
        <w:pStyle w:val="Heading1"/>
      </w:pPr>
      <w:r>
        <w:t>Paper 2</w:t>
      </w:r>
      <w:r w:rsidR="00DD5A96">
        <w:t xml:space="preserve"> – Traceable Measurements (Traceability)</w:t>
      </w:r>
    </w:p>
    <w:p w14:paraId="3AC865E2" w14:textId="20CBE6C8" w:rsidR="006F750E" w:rsidRPr="00D41B4E" w:rsidRDefault="00DD5A96" w:rsidP="006F750E">
      <w:pPr>
        <w:rPr>
          <w:rFonts w:cstheme="minorHAnsi"/>
        </w:rPr>
      </w:pPr>
      <w:r w:rsidRPr="00D41B4E">
        <w:rPr>
          <w:rFonts w:cstheme="minorHAnsi"/>
        </w:rPr>
        <w:t>S</w:t>
      </w:r>
      <w:r w:rsidR="006F750E" w:rsidRPr="00D41B4E">
        <w:rPr>
          <w:rFonts w:cstheme="minorHAnsi"/>
        </w:rPr>
        <w:t xml:space="preserve">eeking views on processes that could be streamlined within the measurement framework, </w:t>
      </w:r>
      <w:r w:rsidR="00C6297B">
        <w:rPr>
          <w:rFonts w:cstheme="minorHAnsi"/>
        </w:rPr>
        <w:t xml:space="preserve">the </w:t>
      </w:r>
      <w:r w:rsidR="006F750E" w:rsidRPr="00D41B4E">
        <w:rPr>
          <w:rFonts w:cstheme="minorHAnsi"/>
        </w:rPr>
        <w:t xml:space="preserve">appropriate framework for measurement of chemical and biological quantities, and whether the </w:t>
      </w:r>
      <w:bookmarkStart w:id="1" w:name="_GoBack"/>
      <w:bookmarkEnd w:id="1"/>
      <w:r w:rsidR="006F750E" w:rsidRPr="00D41B4E">
        <w:rPr>
          <w:rFonts w:cstheme="minorHAnsi"/>
        </w:rPr>
        <w:t>current pathways to ascertain measurement in section 10 could be simplified and made more useful.</w:t>
      </w:r>
    </w:p>
    <w:p w14:paraId="7FF09921" w14:textId="77777777" w:rsidR="006F750E" w:rsidRDefault="006F750E" w:rsidP="00C865F3">
      <w:pPr>
        <w:pStyle w:val="Heading2"/>
        <w:rPr>
          <w:rStyle w:val="Heading3Char"/>
        </w:rPr>
      </w:pPr>
      <w:r w:rsidRPr="005A747C">
        <w:rPr>
          <w:rStyle w:val="Heading3Char"/>
        </w:rPr>
        <w:t>Related National Measurement Act 1960 reference</w:t>
      </w:r>
    </w:p>
    <w:p w14:paraId="3DEF42F3" w14:textId="77777777" w:rsidR="006F750E" w:rsidRPr="00D41B4E" w:rsidRDefault="006F750E" w:rsidP="006F750E">
      <w:pPr>
        <w:rPr>
          <w:rFonts w:cstheme="minorHAnsi"/>
        </w:rPr>
      </w:pPr>
      <w:r w:rsidRPr="00D41B4E">
        <w:rPr>
          <w:rFonts w:cstheme="minorHAnsi"/>
          <w:b/>
        </w:rPr>
        <w:t>Units and standards of measurement</w:t>
      </w:r>
      <w:r w:rsidRPr="00D41B4E">
        <w:rPr>
          <w:rFonts w:cstheme="minorHAnsi"/>
        </w:rPr>
        <w:t xml:space="preserve"> </w:t>
      </w:r>
      <w:r w:rsidRPr="00D41B4E">
        <w:rPr>
          <w:rFonts w:cstheme="minorHAnsi"/>
          <w:b/>
        </w:rPr>
        <w:t>(Part II)</w:t>
      </w:r>
      <w:r w:rsidRPr="00D41B4E">
        <w:rPr>
          <w:rFonts w:cstheme="minorHAnsi"/>
        </w:rPr>
        <w:t xml:space="preserve"> - sections 7-10, 14 establishes Australian standards of measurement and their verification, Australian legal units of measurement; establishes accepted pathways to demonstrate legal traceability of measurement.  </w:t>
      </w:r>
    </w:p>
    <w:p w14:paraId="1EE833A1" w14:textId="77777777" w:rsidR="006F750E" w:rsidRPr="00D41B4E" w:rsidRDefault="006F750E" w:rsidP="006F750E">
      <w:pPr>
        <w:spacing w:line="240" w:lineRule="auto"/>
        <w:rPr>
          <w:rFonts w:cstheme="minorHAnsi"/>
          <w:b/>
        </w:rPr>
      </w:pPr>
      <w:r w:rsidRPr="00D41B4E">
        <w:rPr>
          <w:rFonts w:cstheme="minorHAnsi"/>
          <w:b/>
          <w:i/>
        </w:rPr>
        <w:t>National Measurement Regulations 1999</w:t>
      </w:r>
      <w:r w:rsidRPr="00D41B4E">
        <w:rPr>
          <w:rFonts w:cstheme="minorHAnsi"/>
          <w:b/>
        </w:rPr>
        <w:t xml:space="preserve">: </w:t>
      </w:r>
    </w:p>
    <w:p w14:paraId="4D1168AD" w14:textId="77777777" w:rsidR="006F750E" w:rsidRPr="00D41B4E" w:rsidRDefault="006F750E" w:rsidP="006F750E">
      <w:pPr>
        <w:pStyle w:val="ListParagraph"/>
        <w:numPr>
          <w:ilvl w:val="0"/>
          <w:numId w:val="2"/>
        </w:numPr>
        <w:spacing w:line="240" w:lineRule="auto"/>
        <w:rPr>
          <w:rFonts w:cstheme="minorHAnsi"/>
        </w:rPr>
      </w:pPr>
      <w:r w:rsidRPr="00D41B4E">
        <w:rPr>
          <w:rFonts w:cstheme="minorHAnsi"/>
          <w:b/>
        </w:rPr>
        <w:t>Standards of measurement</w:t>
      </w:r>
      <w:r w:rsidRPr="00D41B4E">
        <w:rPr>
          <w:rFonts w:cstheme="minorHAnsi"/>
        </w:rPr>
        <w:t xml:space="preserve"> </w:t>
      </w:r>
      <w:r w:rsidRPr="00D41B4E">
        <w:rPr>
          <w:rFonts w:cstheme="minorHAnsi"/>
          <w:b/>
        </w:rPr>
        <w:t xml:space="preserve">(Part 3) </w:t>
      </w:r>
      <w:r w:rsidRPr="00D41B4E">
        <w:rPr>
          <w:rFonts w:cstheme="minorHAnsi"/>
        </w:rPr>
        <w:t>– provisions for the verification of standards of measurement, marks and certificates of verification, when verification cease to have effect and may be cancelled, accuracy, value and uncertainty of standards of measurement.</w:t>
      </w:r>
    </w:p>
    <w:p w14:paraId="2FE98FBD" w14:textId="77777777" w:rsidR="006F750E" w:rsidRPr="00D41B4E" w:rsidRDefault="006F750E" w:rsidP="006F750E">
      <w:pPr>
        <w:pStyle w:val="ListParagraph"/>
        <w:numPr>
          <w:ilvl w:val="0"/>
          <w:numId w:val="2"/>
        </w:numPr>
        <w:spacing w:line="240" w:lineRule="auto"/>
        <w:rPr>
          <w:rFonts w:cstheme="minorHAnsi"/>
        </w:rPr>
      </w:pPr>
      <w:r w:rsidRPr="00D41B4E">
        <w:rPr>
          <w:rFonts w:cstheme="minorHAnsi"/>
          <w:b/>
        </w:rPr>
        <w:t>Artefacts (Part 3A) -</w:t>
      </w:r>
      <w:r w:rsidRPr="00D41B4E">
        <w:rPr>
          <w:rFonts w:cstheme="minorHAnsi"/>
        </w:rPr>
        <w:t xml:space="preserve"> provides for the verification of artefacts.</w:t>
      </w:r>
    </w:p>
    <w:p w14:paraId="2E3C05CD" w14:textId="77777777" w:rsidR="006F750E" w:rsidRPr="00D41B4E" w:rsidRDefault="006F750E" w:rsidP="006F750E">
      <w:pPr>
        <w:pStyle w:val="ListParagraph"/>
        <w:numPr>
          <w:ilvl w:val="0"/>
          <w:numId w:val="2"/>
        </w:numPr>
        <w:spacing w:line="240" w:lineRule="auto"/>
        <w:rPr>
          <w:rFonts w:cstheme="minorHAnsi"/>
        </w:rPr>
      </w:pPr>
      <w:r w:rsidRPr="00D41B4E">
        <w:rPr>
          <w:rFonts w:cstheme="minorHAnsi"/>
          <w:b/>
        </w:rPr>
        <w:t>Reference Materials</w:t>
      </w:r>
      <w:r w:rsidRPr="00D41B4E">
        <w:rPr>
          <w:rFonts w:cstheme="minorHAnsi"/>
        </w:rPr>
        <w:t xml:space="preserve"> </w:t>
      </w:r>
      <w:r w:rsidRPr="00D41B4E">
        <w:rPr>
          <w:rFonts w:cstheme="minorHAnsi"/>
          <w:b/>
        </w:rPr>
        <w:t>(Part 5)</w:t>
      </w:r>
      <w:r w:rsidRPr="00D41B4E">
        <w:rPr>
          <w:rFonts w:cstheme="minorHAnsi"/>
        </w:rPr>
        <w:t xml:space="preserve"> – provides for the certification of reference materials, marks and certificates of reference materials, when certification ceases to have effect or may be cancelled or varied.</w:t>
      </w:r>
    </w:p>
    <w:p w14:paraId="3E5F8744" w14:textId="718B943B" w:rsidR="00FB0E04" w:rsidRPr="00D41B4E" w:rsidRDefault="006F750E" w:rsidP="006F750E">
      <w:pPr>
        <w:rPr>
          <w:rFonts w:cstheme="minorHAnsi"/>
        </w:rPr>
      </w:pPr>
      <w:r w:rsidRPr="00D41B4E">
        <w:rPr>
          <w:rFonts w:cstheme="minorHAnsi"/>
          <w:b/>
          <w:i/>
        </w:rPr>
        <w:t>National Measurement Guidelines 2016</w:t>
      </w:r>
      <w:r w:rsidRPr="00D41B4E">
        <w:rPr>
          <w:rFonts w:cstheme="minorHAnsi"/>
        </w:rPr>
        <w:t xml:space="preserve"> - This supplements the NMR 1999 and governs the way ALUMs may be combined.</w:t>
      </w:r>
      <w:r w:rsidR="00D41B4E">
        <w:rPr>
          <w:rFonts w:cstheme="minorHAnsi"/>
        </w:rPr>
        <w:br/>
      </w:r>
    </w:p>
    <w:p w14:paraId="1D43BB0D" w14:textId="4B5906DA" w:rsidR="006F750E" w:rsidRDefault="006F750E" w:rsidP="00DF696A">
      <w:pPr>
        <w:pStyle w:val="Heading1"/>
      </w:pPr>
      <w:r>
        <w:t>Paper 3</w:t>
      </w:r>
      <w:r w:rsidR="00DD5A96">
        <w:t xml:space="preserve"> – Measuring Instruments</w:t>
      </w:r>
    </w:p>
    <w:p w14:paraId="6E18BC7A" w14:textId="43380CD7" w:rsidR="0035429C" w:rsidRDefault="00DD5A96" w:rsidP="006F750E">
      <w:pPr>
        <w:rPr>
          <w:rFonts w:cstheme="minorHAnsi"/>
        </w:rPr>
        <w:sectPr w:rsidR="0035429C" w:rsidSect="00DF696A">
          <w:headerReference w:type="default" r:id="rId15"/>
          <w:headerReference w:type="first" r:id="rId16"/>
          <w:pgSz w:w="11906" w:h="16838"/>
          <w:pgMar w:top="1440" w:right="1440" w:bottom="1440" w:left="1440" w:header="708" w:footer="708" w:gutter="0"/>
          <w:cols w:space="708"/>
          <w:docGrid w:linePitch="360"/>
        </w:sectPr>
      </w:pPr>
      <w:r w:rsidRPr="00D41B4E">
        <w:rPr>
          <w:rFonts w:cstheme="minorHAnsi"/>
        </w:rPr>
        <w:t>S</w:t>
      </w:r>
      <w:r w:rsidR="006F750E" w:rsidRPr="00D41B4E">
        <w:rPr>
          <w:rFonts w:cstheme="minorHAnsi"/>
        </w:rPr>
        <w:t xml:space="preserve">eeking views on </w:t>
      </w:r>
      <w:r w:rsidR="00DB73F7">
        <w:rPr>
          <w:rFonts w:cstheme="minorHAnsi"/>
        </w:rPr>
        <w:t>whether</w:t>
      </w:r>
      <w:r w:rsidR="006F750E" w:rsidRPr="00D41B4E">
        <w:rPr>
          <w:rFonts w:cstheme="minorHAnsi"/>
        </w:rPr>
        <w:t xml:space="preserve"> there are better ways of ensuring that measuring instruments are fit-for-use; ways in which Australia’s measurement framework can better support new te</w:t>
      </w:r>
      <w:r w:rsidR="00FE5697">
        <w:rPr>
          <w:rFonts w:cstheme="minorHAnsi"/>
        </w:rPr>
        <w:t>chnologies and innovation; and i</w:t>
      </w:r>
      <w:r w:rsidR="006F750E" w:rsidRPr="00D41B4E">
        <w:rPr>
          <w:rFonts w:cstheme="minorHAnsi"/>
        </w:rPr>
        <w:t>f the current measurement framework provides appropriate and usable options for measuring instruments used for legal purposes other than trade.</w:t>
      </w:r>
    </w:p>
    <w:p w14:paraId="263ED7AB" w14:textId="77777777" w:rsidR="006F750E" w:rsidRDefault="006F750E" w:rsidP="00C865F3">
      <w:pPr>
        <w:pStyle w:val="Heading2"/>
        <w:rPr>
          <w:rStyle w:val="Heading3Char"/>
        </w:rPr>
      </w:pPr>
      <w:r w:rsidRPr="005A747C">
        <w:rPr>
          <w:rStyle w:val="Heading3Char"/>
        </w:rPr>
        <w:lastRenderedPageBreak/>
        <w:t>Related National Measurement Act 1960 reference</w:t>
      </w:r>
    </w:p>
    <w:p w14:paraId="3C3F3517" w14:textId="77777777" w:rsidR="006F750E" w:rsidRPr="00D41B4E" w:rsidRDefault="006F750E" w:rsidP="006F750E">
      <w:pPr>
        <w:rPr>
          <w:rFonts w:cstheme="minorHAnsi"/>
        </w:rPr>
      </w:pPr>
      <w:r w:rsidRPr="00D41B4E">
        <w:rPr>
          <w:rFonts w:cstheme="minorHAnsi"/>
          <w:b/>
        </w:rPr>
        <w:t>Using measuring instruments for trade (Part IV)</w:t>
      </w:r>
      <w:r w:rsidRPr="00D41B4E">
        <w:rPr>
          <w:rFonts w:cstheme="minorHAnsi"/>
        </w:rPr>
        <w:t xml:space="preserve"> – establishes a system for verifying measuring instruments; requires verification and accuracy of measuring instruments used for trade; establishes related offences.</w:t>
      </w:r>
    </w:p>
    <w:p w14:paraId="7F0A5CD7" w14:textId="71FCCC74" w:rsidR="00FB0E04" w:rsidRDefault="006F750E" w:rsidP="006F750E">
      <w:pPr>
        <w:rPr>
          <w:rFonts w:cstheme="minorHAnsi"/>
        </w:rPr>
      </w:pPr>
      <w:r w:rsidRPr="00D41B4E">
        <w:rPr>
          <w:rFonts w:cstheme="minorHAnsi"/>
          <w:b/>
        </w:rPr>
        <w:t xml:space="preserve">General provisions on using measurement in trade (Part V) </w:t>
      </w:r>
      <w:r w:rsidRPr="00D41B4E">
        <w:rPr>
          <w:rFonts w:cstheme="minorHAnsi"/>
        </w:rPr>
        <w:t>–regulates use of measurement in trade and requires all trade measurement to be a net measurement; sets out articles to be sold by measurement, the units for use in certain transactions, scale intervals for certain measuring instruments/transactions/articles, unreliable methods of measurement and the use of certain measuring instruments.</w:t>
      </w:r>
    </w:p>
    <w:p w14:paraId="6B467C79" w14:textId="77777777" w:rsidR="00DF696A" w:rsidRPr="00D41B4E" w:rsidRDefault="00DF696A" w:rsidP="006F750E">
      <w:pPr>
        <w:rPr>
          <w:rFonts w:cstheme="minorHAnsi"/>
        </w:rPr>
      </w:pPr>
    </w:p>
    <w:p w14:paraId="4D3C7587" w14:textId="57094F11" w:rsidR="006F750E" w:rsidRPr="00D41B4E" w:rsidRDefault="006F750E" w:rsidP="00DF696A">
      <w:pPr>
        <w:pStyle w:val="Heading1"/>
      </w:pPr>
      <w:r>
        <w:t>Paper 4</w:t>
      </w:r>
      <w:r w:rsidR="00DD5A96">
        <w:t xml:space="preserve"> – Measurement-based Transactions</w:t>
      </w:r>
    </w:p>
    <w:p w14:paraId="5BB6330A" w14:textId="6EA7D8C1" w:rsidR="006F750E" w:rsidRPr="00D41B4E" w:rsidRDefault="00DD5A96" w:rsidP="006F750E">
      <w:pPr>
        <w:rPr>
          <w:rFonts w:cstheme="minorHAnsi"/>
        </w:rPr>
      </w:pPr>
      <w:r w:rsidRPr="00D41B4E">
        <w:rPr>
          <w:rFonts w:cstheme="minorHAnsi"/>
        </w:rPr>
        <w:t>S</w:t>
      </w:r>
      <w:r w:rsidR="006F750E" w:rsidRPr="00D41B4E">
        <w:rPr>
          <w:rFonts w:cstheme="minorHAnsi"/>
        </w:rPr>
        <w:t>eeking views on whether current requirements for units of measurement in trade should be more flexible; if current test methods for packaged goods are still suitable and in line with international best practice; whether offences are adequate to ensure confidence in all measurement-based trade transactions; and the need to prescribe how certain types of goods are sold.</w:t>
      </w:r>
    </w:p>
    <w:p w14:paraId="77D0F7C5" w14:textId="77777777" w:rsidR="006F750E" w:rsidRDefault="006F750E" w:rsidP="00C865F3">
      <w:pPr>
        <w:pStyle w:val="Heading2"/>
        <w:rPr>
          <w:rStyle w:val="Heading3Char"/>
        </w:rPr>
      </w:pPr>
      <w:r w:rsidRPr="005A747C">
        <w:rPr>
          <w:rStyle w:val="Heading3Char"/>
        </w:rPr>
        <w:t>Related National Measurement Act 1960 reference</w:t>
      </w:r>
    </w:p>
    <w:p w14:paraId="195C350B" w14:textId="77777777" w:rsidR="006F750E" w:rsidRPr="00D41B4E" w:rsidRDefault="006F750E" w:rsidP="006F750E">
      <w:pPr>
        <w:rPr>
          <w:rFonts w:cstheme="minorHAnsi"/>
        </w:rPr>
      </w:pPr>
      <w:r w:rsidRPr="00D41B4E">
        <w:rPr>
          <w:rFonts w:cstheme="minorHAnsi"/>
          <w:b/>
        </w:rPr>
        <w:t xml:space="preserve">General provisions on using measurement in trade (Part V) </w:t>
      </w:r>
      <w:r w:rsidRPr="00D41B4E">
        <w:rPr>
          <w:rFonts w:cstheme="minorHAnsi"/>
        </w:rPr>
        <w:t xml:space="preserve">– see above description. </w:t>
      </w:r>
    </w:p>
    <w:p w14:paraId="016BA604" w14:textId="77777777" w:rsidR="006F750E" w:rsidRPr="00D41B4E" w:rsidRDefault="006F750E" w:rsidP="006F750E">
      <w:pPr>
        <w:rPr>
          <w:rFonts w:cstheme="minorHAnsi"/>
        </w:rPr>
      </w:pPr>
      <w:r w:rsidRPr="00D41B4E">
        <w:rPr>
          <w:rFonts w:cstheme="minorHAnsi"/>
          <w:b/>
        </w:rPr>
        <w:t>Articles packed in advance ready for sale (Part VI)</w:t>
      </w:r>
      <w:r w:rsidRPr="00D41B4E">
        <w:rPr>
          <w:rFonts w:cstheme="minorHAnsi"/>
        </w:rPr>
        <w:t xml:space="preserve"> – sets out requirements for ‘articles that are packed in advance ready for sale’ and methods for determining a shortfall.</w:t>
      </w:r>
    </w:p>
    <w:p w14:paraId="19CC91B7" w14:textId="77777777" w:rsidR="006F750E" w:rsidRPr="00D41B4E" w:rsidRDefault="006F750E" w:rsidP="006F750E">
      <w:pPr>
        <w:rPr>
          <w:rFonts w:cstheme="minorHAnsi"/>
        </w:rPr>
      </w:pPr>
      <w:r w:rsidRPr="00D41B4E">
        <w:rPr>
          <w:rFonts w:cstheme="minorHAnsi"/>
          <w:b/>
        </w:rPr>
        <w:t>Other articles (Part VII)</w:t>
      </w:r>
      <w:r w:rsidRPr="00D41B4E">
        <w:rPr>
          <w:rFonts w:cstheme="minorHAnsi"/>
        </w:rPr>
        <w:t xml:space="preserve"> – requirements for articles sold for a price determined by reference to the measurement of the article, but are not ‘articles packed in advance ready for sale’; establishes offences for shortfall sales and if a person charges for packaging.</w:t>
      </w:r>
    </w:p>
    <w:p w14:paraId="62844E95" w14:textId="10403834" w:rsidR="006F750E" w:rsidRPr="00D41B4E" w:rsidRDefault="006F750E" w:rsidP="006F750E">
      <w:pPr>
        <w:rPr>
          <w:rFonts w:cstheme="minorHAnsi"/>
          <w:b/>
          <w:i/>
        </w:rPr>
      </w:pPr>
      <w:r w:rsidRPr="00D41B4E">
        <w:rPr>
          <w:rFonts w:cstheme="minorHAnsi"/>
          <w:b/>
          <w:i/>
        </w:rPr>
        <w:t>National Trade Measurement Regulations 2009</w:t>
      </w:r>
      <w:r w:rsidR="00D41B4E">
        <w:rPr>
          <w:rFonts w:cstheme="minorHAnsi"/>
          <w:b/>
          <w:i/>
        </w:rPr>
        <w:br/>
      </w:r>
    </w:p>
    <w:p w14:paraId="0584FD3E" w14:textId="3331133F" w:rsidR="006F750E" w:rsidRPr="005A747C" w:rsidRDefault="006F750E" w:rsidP="00DF696A">
      <w:pPr>
        <w:pStyle w:val="Heading1"/>
      </w:pPr>
      <w:r>
        <w:t>Paper 5 – Third-Parties Arrangements</w:t>
      </w:r>
    </w:p>
    <w:p w14:paraId="7E5ECC3E" w14:textId="59E93432" w:rsidR="006F750E" w:rsidRPr="00D41B4E" w:rsidRDefault="006F750E" w:rsidP="006F750E">
      <w:pPr>
        <w:rPr>
          <w:rFonts w:cstheme="minorHAnsi"/>
        </w:rPr>
      </w:pPr>
      <w:r w:rsidRPr="00D41B4E">
        <w:rPr>
          <w:rFonts w:cstheme="minorHAnsi"/>
        </w:rPr>
        <w:t>Seeking views on whether the current third-party arrangements are working efficiently and effectively; opportunities for improvement in the appointment and use of authorities; how arrangements for third parties could best support Australia’s measurement framework and technical measurement infrastructure.</w:t>
      </w:r>
    </w:p>
    <w:p w14:paraId="15CE73FE" w14:textId="77777777" w:rsidR="006F750E" w:rsidRDefault="006F750E" w:rsidP="00C865F3">
      <w:pPr>
        <w:pStyle w:val="Heading2"/>
        <w:rPr>
          <w:rStyle w:val="Heading3Char"/>
        </w:rPr>
      </w:pPr>
      <w:r w:rsidRPr="005A747C">
        <w:rPr>
          <w:rStyle w:val="Heading3Char"/>
        </w:rPr>
        <w:t>Related National Measurement Act 1960 reference</w:t>
      </w:r>
    </w:p>
    <w:p w14:paraId="16A96403" w14:textId="77777777" w:rsidR="006F750E" w:rsidRPr="00D41B4E" w:rsidRDefault="006F750E" w:rsidP="006F750E">
      <w:pPr>
        <w:rPr>
          <w:rFonts w:cstheme="minorHAnsi"/>
          <w:b/>
        </w:rPr>
      </w:pPr>
      <w:r w:rsidRPr="00D41B4E">
        <w:rPr>
          <w:rFonts w:cstheme="minorHAnsi"/>
          <w:b/>
        </w:rPr>
        <w:t>Utility meter verifiers (Part XIII)</w:t>
      </w:r>
      <w:r w:rsidRPr="00D41B4E">
        <w:rPr>
          <w:rFonts w:cstheme="minorHAnsi"/>
        </w:rPr>
        <w:t xml:space="preserve"> – contains provisions for the appointment of utility meter verifiers and disciplinary action that may be taken against an appointed utility meter verifier.</w:t>
      </w:r>
    </w:p>
    <w:p w14:paraId="7B6E8DD2" w14:textId="77777777" w:rsidR="006F750E" w:rsidRPr="00D41B4E" w:rsidRDefault="006F750E" w:rsidP="006F750E">
      <w:pPr>
        <w:rPr>
          <w:rFonts w:cstheme="minorHAnsi"/>
        </w:rPr>
      </w:pPr>
      <w:r w:rsidRPr="00D41B4E">
        <w:rPr>
          <w:rFonts w:cstheme="minorHAnsi"/>
          <w:b/>
        </w:rPr>
        <w:t>Servicing licensees (Part X)</w:t>
      </w:r>
      <w:r w:rsidRPr="00D41B4E">
        <w:rPr>
          <w:rFonts w:cstheme="minorHAnsi"/>
        </w:rPr>
        <w:t xml:space="preserve"> – establishes a licensing system for the verifiers of measuring instruments and general conditions placed on all servicing licences.</w:t>
      </w:r>
    </w:p>
    <w:p w14:paraId="08C7A3F7" w14:textId="6C9E4EC1" w:rsidR="006F750E" w:rsidRPr="00D41B4E" w:rsidRDefault="006F750E" w:rsidP="006F750E">
      <w:pPr>
        <w:rPr>
          <w:rFonts w:cstheme="minorHAnsi"/>
        </w:rPr>
      </w:pPr>
      <w:r w:rsidRPr="00D41B4E">
        <w:rPr>
          <w:rFonts w:cstheme="minorHAnsi"/>
          <w:b/>
        </w:rPr>
        <w:t>Public weighbridges (Part XI)</w:t>
      </w:r>
      <w:r w:rsidRPr="00D41B4E">
        <w:rPr>
          <w:rFonts w:cstheme="minorHAnsi"/>
        </w:rPr>
        <w:t xml:space="preserve"> – establishes a licensing system for the operation of public weighbridges and general conditions placed on all public weighbridge licences.</w:t>
      </w:r>
      <w:r w:rsidR="00D41B4E">
        <w:rPr>
          <w:rFonts w:cstheme="minorHAnsi"/>
        </w:rPr>
        <w:br/>
      </w:r>
    </w:p>
    <w:p w14:paraId="0BE3427B" w14:textId="3F116173" w:rsidR="006F750E" w:rsidRPr="005A747C" w:rsidRDefault="006F750E" w:rsidP="00DF696A">
      <w:pPr>
        <w:pStyle w:val="Heading1"/>
      </w:pPr>
      <w:r>
        <w:lastRenderedPageBreak/>
        <w:t>Paper 6 – Compliance Arrangements</w:t>
      </w:r>
    </w:p>
    <w:p w14:paraId="71BC29DD" w14:textId="631CBE70" w:rsidR="006F750E" w:rsidRPr="00D41B4E" w:rsidRDefault="006F750E" w:rsidP="006F750E">
      <w:pPr>
        <w:rPr>
          <w:rFonts w:cstheme="minorHAnsi"/>
        </w:rPr>
      </w:pPr>
      <w:r w:rsidRPr="00D41B4E">
        <w:rPr>
          <w:rFonts w:cstheme="minorHAnsi"/>
        </w:rPr>
        <w:t xml:space="preserve">Seeking views on the adequacy of the current enforcement options and offence provisions, including whether additional administrative options and civil penalties are appropriate; the adequacy and suitability of current inspectors powers; and adoption of the </w:t>
      </w:r>
      <w:r w:rsidRPr="00D41B4E">
        <w:rPr>
          <w:rFonts w:cstheme="minorHAnsi"/>
          <w:i/>
        </w:rPr>
        <w:t>Regulatory Powers (Standards Provisions) Act 2014.</w:t>
      </w:r>
    </w:p>
    <w:p w14:paraId="5A9EEF2E" w14:textId="77777777" w:rsidR="006F750E" w:rsidRDefault="006F750E" w:rsidP="00C865F3">
      <w:pPr>
        <w:pStyle w:val="Heading2"/>
        <w:rPr>
          <w:rStyle w:val="Heading3Char"/>
        </w:rPr>
      </w:pPr>
      <w:r w:rsidRPr="005A747C">
        <w:rPr>
          <w:rStyle w:val="Heading3Char"/>
        </w:rPr>
        <w:t>Related National Measurement Act 1960 reference</w:t>
      </w:r>
    </w:p>
    <w:p w14:paraId="61421A8E" w14:textId="77777777" w:rsidR="006F750E" w:rsidRPr="00D41B4E" w:rsidRDefault="006F750E" w:rsidP="006F750E">
      <w:pPr>
        <w:rPr>
          <w:rFonts w:cstheme="minorHAnsi"/>
        </w:rPr>
      </w:pPr>
      <w:r w:rsidRPr="00D41B4E">
        <w:rPr>
          <w:rFonts w:cstheme="minorHAnsi"/>
          <w:b/>
        </w:rPr>
        <w:t>Enforcement of Parts IV to VII (Part VIII)</w:t>
      </w:r>
      <w:r w:rsidRPr="00D41B4E">
        <w:rPr>
          <w:rFonts w:cstheme="minorHAnsi"/>
        </w:rPr>
        <w:t xml:space="preserve"> – contains mechanisms for enforcing the requirements in Parts IV to VII and sets up a system of infringement notices for contraventions of strict liability provisions.</w:t>
      </w:r>
    </w:p>
    <w:p w14:paraId="4001AB8D" w14:textId="77777777" w:rsidR="006F750E" w:rsidRPr="00D41B4E" w:rsidRDefault="006F750E" w:rsidP="006F750E">
      <w:pPr>
        <w:rPr>
          <w:rFonts w:cstheme="minorHAnsi"/>
          <w:b/>
        </w:rPr>
      </w:pPr>
      <w:r w:rsidRPr="00D41B4E">
        <w:rPr>
          <w:rFonts w:cstheme="minorHAnsi"/>
          <w:b/>
        </w:rPr>
        <w:t>Disciplinary action against servicing licensees and public weighbridge licensees (Part XII)</w:t>
      </w:r>
      <w:r w:rsidRPr="00D41B4E">
        <w:rPr>
          <w:rFonts w:cstheme="minorHAnsi"/>
        </w:rPr>
        <w:t xml:space="preserve"> – establishes disciplinary action options against servicing licensees and public weighbridge licensees; sets out grounds on which disciplinary action may be taken.</w:t>
      </w:r>
    </w:p>
    <w:p w14:paraId="5F2AC3F8" w14:textId="1B1F24A1" w:rsidR="006F750E" w:rsidRPr="00D41B4E" w:rsidRDefault="006F750E" w:rsidP="006F750E">
      <w:pPr>
        <w:rPr>
          <w:rFonts w:cstheme="minorHAnsi"/>
        </w:rPr>
      </w:pPr>
      <w:r w:rsidRPr="00D41B4E">
        <w:rPr>
          <w:rFonts w:cstheme="minorHAnsi"/>
          <w:b/>
        </w:rPr>
        <w:t>Trade measurement inspectors (Part IX)</w:t>
      </w:r>
      <w:r w:rsidRPr="00D41B4E">
        <w:rPr>
          <w:rFonts w:cstheme="minorHAnsi"/>
        </w:rPr>
        <w:t xml:space="preserve"> – includes provisions about trade measurement inspectors; provides for the appointment of inspectors; empowers inspectors to enter certain premises and inspect certain vehicles; imposes obligations on inspectors that must be complied with when exercising powers; sets out the rights and responsibilities of controllers when premises are being searched and contains provisions about warrants.</w:t>
      </w:r>
    </w:p>
    <w:p w14:paraId="10CCEDAD" w14:textId="77777777" w:rsidR="00C401AC" w:rsidRDefault="00C6297B"/>
    <w:sectPr w:rsidR="00C401AC" w:rsidSect="00DF69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62303" w14:textId="77777777" w:rsidR="00F0135A" w:rsidRDefault="00F0135A" w:rsidP="00F0135A">
      <w:pPr>
        <w:spacing w:after="0" w:line="240" w:lineRule="auto"/>
      </w:pPr>
      <w:r>
        <w:separator/>
      </w:r>
    </w:p>
  </w:endnote>
  <w:endnote w:type="continuationSeparator" w:id="0">
    <w:p w14:paraId="4208AEFE" w14:textId="77777777" w:rsidR="00F0135A" w:rsidRDefault="00F0135A" w:rsidP="00F01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7DCEC" w14:textId="77777777" w:rsidR="00F0135A" w:rsidRDefault="00F0135A" w:rsidP="00F0135A">
      <w:pPr>
        <w:spacing w:after="0" w:line="240" w:lineRule="auto"/>
      </w:pPr>
      <w:r>
        <w:separator/>
      </w:r>
    </w:p>
  </w:footnote>
  <w:footnote w:type="continuationSeparator" w:id="0">
    <w:p w14:paraId="31BC1B69" w14:textId="77777777" w:rsidR="00F0135A" w:rsidRDefault="00F0135A" w:rsidP="00F01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62E3B" w14:textId="09223A7A" w:rsidR="00F0135A" w:rsidRDefault="00F0135A" w:rsidP="0008266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C2D1F" w14:textId="6E14D81B" w:rsidR="0035429C" w:rsidRPr="0035429C" w:rsidRDefault="0035429C" w:rsidP="0035429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9086C"/>
    <w:multiLevelType w:val="hybridMultilevel"/>
    <w:tmpl w:val="AE0EF4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AB13DA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60"/>
    <w:rsid w:val="00082668"/>
    <w:rsid w:val="001B1F77"/>
    <w:rsid w:val="00265C57"/>
    <w:rsid w:val="0035429C"/>
    <w:rsid w:val="003D0A5D"/>
    <w:rsid w:val="003D3030"/>
    <w:rsid w:val="00583D70"/>
    <w:rsid w:val="005C3A3B"/>
    <w:rsid w:val="006F750E"/>
    <w:rsid w:val="00701A4F"/>
    <w:rsid w:val="009705D7"/>
    <w:rsid w:val="00AD4EFC"/>
    <w:rsid w:val="00B07E64"/>
    <w:rsid w:val="00C54360"/>
    <w:rsid w:val="00C6297B"/>
    <w:rsid w:val="00C83495"/>
    <w:rsid w:val="00C865F3"/>
    <w:rsid w:val="00CB2C15"/>
    <w:rsid w:val="00D41B4E"/>
    <w:rsid w:val="00DB73F7"/>
    <w:rsid w:val="00DD5A96"/>
    <w:rsid w:val="00DF696A"/>
    <w:rsid w:val="00F0135A"/>
    <w:rsid w:val="00FB0E04"/>
    <w:rsid w:val="00FE56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CCED6D"/>
  <w15:chartTrackingRefBased/>
  <w15:docId w15:val="{02F1A445-382D-4AE0-B0C3-FBAF3041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60"/>
    <w:pPr>
      <w:spacing w:after="120" w:line="276" w:lineRule="auto"/>
    </w:pPr>
  </w:style>
  <w:style w:type="paragraph" w:styleId="Heading1">
    <w:name w:val="heading 1"/>
    <w:basedOn w:val="Normal"/>
    <w:next w:val="Normal"/>
    <w:link w:val="Heading1Char"/>
    <w:uiPriority w:val="9"/>
    <w:qFormat/>
    <w:rsid w:val="00DF696A"/>
    <w:pPr>
      <w:keepNext/>
      <w:keepLines/>
      <w:spacing w:after="0"/>
      <w:outlineLvl w:val="0"/>
    </w:pPr>
    <w:rPr>
      <w:rFonts w:asciiTheme="majorHAnsi" w:eastAsiaTheme="majorEastAsia" w:hAnsiTheme="majorHAnsi" w:cstheme="majorBidi"/>
      <w:b/>
      <w:bCs/>
      <w:color w:val="2E74B5" w:themeColor="accent1" w:themeShade="BF"/>
      <w:sz w:val="32"/>
      <w:szCs w:val="28"/>
    </w:rPr>
  </w:style>
  <w:style w:type="paragraph" w:styleId="Heading2">
    <w:name w:val="heading 2"/>
    <w:basedOn w:val="Normal"/>
    <w:next w:val="Normal"/>
    <w:link w:val="Heading2Char"/>
    <w:uiPriority w:val="9"/>
    <w:unhideWhenUsed/>
    <w:qFormat/>
    <w:rsid w:val="006F75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F75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41B4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696A"/>
    <w:rPr>
      <w:rFonts w:asciiTheme="majorHAnsi" w:eastAsiaTheme="majorEastAsia" w:hAnsiTheme="majorHAnsi" w:cstheme="majorBidi"/>
      <w:b/>
      <w:bCs/>
      <w:color w:val="2E74B5" w:themeColor="accent1" w:themeShade="BF"/>
      <w:sz w:val="32"/>
      <w:szCs w:val="28"/>
    </w:rPr>
  </w:style>
  <w:style w:type="character" w:styleId="Hyperlink">
    <w:name w:val="Hyperlink"/>
    <w:basedOn w:val="DefaultParagraphFont"/>
    <w:uiPriority w:val="99"/>
    <w:unhideWhenUsed/>
    <w:rsid w:val="00C54360"/>
    <w:rPr>
      <w:color w:val="0563C1" w:themeColor="hyperlink"/>
      <w:u w:val="single"/>
    </w:rPr>
  </w:style>
  <w:style w:type="paragraph" w:styleId="ListParagraph">
    <w:name w:val="List Paragraph"/>
    <w:aliases w:val="List Paragraph1,List Paragraph11,List Paragraph2,Recommendation,Bullet 1,CV text,Dot pt,F5 List Paragraph,Indicator Text,L,List Paragraph Char Char Char,List Paragraph111,MAIN CONTENT,Normal numbered,Numbered Para 1,bullet point list,列出段落"/>
    <w:basedOn w:val="Normal"/>
    <w:link w:val="ListParagraphChar"/>
    <w:uiPriority w:val="34"/>
    <w:qFormat/>
    <w:rsid w:val="00C54360"/>
    <w:pPr>
      <w:ind w:left="720"/>
      <w:contextualSpacing/>
    </w:pPr>
  </w:style>
  <w:style w:type="character" w:customStyle="1" w:styleId="ListParagraphChar">
    <w:name w:val="List Paragraph Char"/>
    <w:aliases w:val="List Paragraph1 Char,List Paragraph11 Char,List Paragraph2 Char,Recommendation Char,Bullet 1 Char,CV text Char,Dot pt Char,F5 List Paragraph Char,Indicator Text Char,L Char,List Paragraph Char Char Char Char,List Paragraph111 Char"/>
    <w:basedOn w:val="DefaultParagraphFont"/>
    <w:link w:val="ListParagraph"/>
    <w:uiPriority w:val="34"/>
    <w:locked/>
    <w:rsid w:val="00C54360"/>
  </w:style>
  <w:style w:type="table" w:styleId="GridTable2-Accent5">
    <w:name w:val="Grid Table 2 Accent 5"/>
    <w:basedOn w:val="TableNormal"/>
    <w:uiPriority w:val="47"/>
    <w:rsid w:val="00C54360"/>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BalloonText">
    <w:name w:val="Balloon Text"/>
    <w:basedOn w:val="Normal"/>
    <w:link w:val="BalloonTextChar"/>
    <w:uiPriority w:val="99"/>
    <w:semiHidden/>
    <w:unhideWhenUsed/>
    <w:rsid w:val="00AD4E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EFC"/>
    <w:rPr>
      <w:rFonts w:ascii="Segoe UI" w:hAnsi="Segoe UI" w:cs="Segoe UI"/>
      <w:sz w:val="18"/>
      <w:szCs w:val="18"/>
    </w:rPr>
  </w:style>
  <w:style w:type="character" w:customStyle="1" w:styleId="Heading2Char">
    <w:name w:val="Heading 2 Char"/>
    <w:basedOn w:val="DefaultParagraphFont"/>
    <w:link w:val="Heading2"/>
    <w:uiPriority w:val="9"/>
    <w:rsid w:val="006F750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F750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D41B4E"/>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F013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135A"/>
  </w:style>
  <w:style w:type="paragraph" w:styleId="Footer">
    <w:name w:val="footer"/>
    <w:basedOn w:val="Normal"/>
    <w:link w:val="FooterChar"/>
    <w:uiPriority w:val="99"/>
    <w:unhideWhenUsed/>
    <w:rsid w:val="00F013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135A"/>
  </w:style>
  <w:style w:type="paragraph" w:styleId="Title">
    <w:name w:val="Title"/>
    <w:basedOn w:val="Normal"/>
    <w:next w:val="Normal"/>
    <w:link w:val="TitleChar"/>
    <w:uiPriority w:val="10"/>
    <w:qFormat/>
    <w:rsid w:val="00DF696A"/>
    <w:pPr>
      <w:spacing w:before="120" w:line="240" w:lineRule="auto"/>
      <w:contextualSpacing/>
    </w:pPr>
    <w:rPr>
      <w:rFonts w:asciiTheme="majorHAnsi" w:eastAsiaTheme="majorEastAsia" w:hAnsiTheme="majorHAnsi" w:cstheme="majorBidi"/>
      <w:b/>
      <w:spacing w:val="5"/>
      <w:kern w:val="28"/>
      <w:sz w:val="40"/>
      <w:szCs w:val="52"/>
    </w:rPr>
  </w:style>
  <w:style w:type="character" w:customStyle="1" w:styleId="TitleChar">
    <w:name w:val="Title Char"/>
    <w:basedOn w:val="DefaultParagraphFont"/>
    <w:link w:val="Title"/>
    <w:uiPriority w:val="10"/>
    <w:rsid w:val="00DF696A"/>
    <w:rPr>
      <w:rFonts w:asciiTheme="majorHAnsi" w:eastAsiaTheme="majorEastAsia" w:hAnsiTheme="majorHAnsi" w:cstheme="majorBidi"/>
      <w:b/>
      <w:spacing w:val="5"/>
      <w:kern w:val="28"/>
      <w:sz w:val="4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gislation.gov.au/Series/C1960A0006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onsult.industry.gov.au/measurement-law-review/sco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99D9608FED8D498BCA2801844341AD" ma:contentTypeVersion="16" ma:contentTypeDescription="Create a new document." ma:contentTypeScope="" ma:versionID="80f8716316817ccf2564a1926186d18f">
  <xsd:schema xmlns:xsd="http://www.w3.org/2001/XMLSchema" xmlns:xs="http://www.w3.org/2001/XMLSchema" xmlns:p="http://schemas.microsoft.com/office/2006/metadata/properties" xmlns:ns1="http://schemas.microsoft.com/sharepoint/v3" xmlns:ns2="ef1c6b3d-2616-4020-9054-bdf2c47fde80" xmlns:ns3="898be809-5e21-4b54-881d-d8a3488368c8" targetNamespace="http://schemas.microsoft.com/office/2006/metadata/properties" ma:root="true" ma:fieldsID="b752eb2c6568b9b578aab3af0d8681d2" ns1:_="" ns2:_="" ns3:_="">
    <xsd:import namespace="http://schemas.microsoft.com/sharepoint/v3"/>
    <xsd:import namespace="ef1c6b3d-2616-4020-9054-bdf2c47fde80"/>
    <xsd:import namespace="898be809-5e21-4b54-881d-d8a3488368c8"/>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3:DocHub_MeetingDate" minOccurs="0"/>
                <xsd:element ref="ns3:gabcb1eff41b4b4092332a967995e2a8"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2"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1c6b3d-2616-4020-9054-bdf2c47fde8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dad33dd0-8c30-4cf3-ae64-570ad1bc4d6f}" ma:internalName="TaxCatchAll" ma:showField="CatchAllData" ma:web="898be809-5e21-4b54-881d-d8a3488368c8">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86c3a53-8547-45b0-a109-083f704d1385"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98be809-5e21-4b54-881d-d8a3488368c8" elementFormDefault="qualified">
    <xsd:import namespace="http://schemas.microsoft.com/office/2006/documentManagement/types"/>
    <xsd:import namespace="http://schemas.microsoft.com/office/infopath/2007/PartnerControls"/>
    <xsd:element name="DocHub_MeetingDate" ma:index="23" nillable="true" ma:displayName="Meeting Date" ma:description="Date of the meeting (DD/MM/YYYY)" ma:format="DateOnly" ma:internalName="DocHub_MeetingDate">
      <xsd:simpleType>
        <xsd:restriction base="dms:DateTime"/>
      </xsd:simpleType>
    </xsd:element>
    <xsd:element name="gabcb1eff41b4b4092332a967995e2a8" ma:index="25" nillable="true" ma:taxonomy="true" ma:internalName="gabcb1eff41b4b4092332a967995e2a8" ma:taxonomyFieldName="DocHub_WorkTopic" ma:displayName="Work Topic" ma:default="" ma:fieldId="{0abcb1ef-f41b-4b40-9233-2a967995e2a8}" ma:sspId="fb0313f7-9433-48c0-866e-9e0bbee59a50" ma:termSetId="58a2bccc-25c0-4473-9d2d-96641c2d7d3f" ma:anchorId="00000000-0000-0000-0000-000000000000" ma:open="false" ma:isKeyword="false">
      <xsd:complexType>
        <xsd:sequence>
          <xsd:element ref="pc:Terms" minOccurs="0" maxOccurs="1"/>
        </xsd:sequence>
      </xsd:complexType>
    </xsd:element>
    <xsd:element name="SharedWithUsers" ma:index="2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e2555c81638466f9eb614edb9ecde52 xmlns="ef1c6b3d-2616-4020-9054-bdf2c47fde80">
      <Terms xmlns="http://schemas.microsoft.com/office/infopath/2007/PartnerControls">
        <TermInfo xmlns="http://schemas.microsoft.com/office/infopath/2007/PartnerControls">
          <TermName xmlns="http://schemas.microsoft.com/office/infopath/2007/PartnerControls">Paper</TermName>
          <TermId xmlns="http://schemas.microsoft.com/office/infopath/2007/PartnerControls">4fd73e9f-ceb6-4d3f-8d1d-e6ca9b922532</TermId>
        </TermInfo>
      </Terms>
    </pe2555c81638466f9eb614edb9ecde52>
    <g7bcb40ba23249a78edca7d43a67c1c9 xmlns="ef1c6b3d-2616-4020-9054-bdf2c47fde80">
      <Terms xmlns="http://schemas.microsoft.com/office/infopath/2007/PartnerControls">
        <TermInfo xmlns="http://schemas.microsoft.com/office/infopath/2007/PartnerControls">
          <TermName xmlns="http://schemas.microsoft.com/office/infopath/2007/PartnerControls">Stakeholder Engagement</TermName>
          <TermId xmlns="http://schemas.microsoft.com/office/infopath/2007/PartnerControls">e5a94374-c5c6-45f9-9ba5-263eb5e10d1f</TermId>
        </TermInfo>
      </Terms>
    </g7bcb40ba23249a78edca7d43a67c1c9>
    <n99e4c9942c6404eb103464a00e6097b xmlns="ef1c6b3d-2616-4020-9054-bdf2c47fde80">
      <Terms xmlns="http://schemas.microsoft.com/office/infopath/2007/PartnerControls">
        <TermInfo xmlns="http://schemas.microsoft.com/office/infopath/2007/PartnerControls">
          <TermName xmlns="http://schemas.microsoft.com/office/infopath/2007/PartnerControls">2018</TermName>
          <TermId xmlns="http://schemas.microsoft.com/office/infopath/2007/PartnerControls">224abc7b-6f7e-4064-b773-6750976429b5</TermId>
        </TermInfo>
      </Terms>
    </n99e4c9942c6404eb103464a00e6097b>
    <adb9bed2e36e4a93af574aeb444da63e xmlns="ef1c6b3d-2616-4020-9054-bdf2c47fde80">
      <Terms xmlns="http://schemas.microsoft.com/office/infopath/2007/PartnerControls">
        <TermInfo xmlns="http://schemas.microsoft.com/office/infopath/2007/PartnerControls">
          <TermName xmlns="http://schemas.microsoft.com/office/infopath/2007/PartnerControls">legislative review</TermName>
          <TermId xmlns="http://schemas.microsoft.com/office/infopath/2007/PartnerControls">a9a2bc7a-7334-4fb7-b490-5f5bcf70e530</TermId>
        </TermInfo>
      </Terms>
    </adb9bed2e36e4a93af574aeb444da63e>
    <DocHub_MeetingDate xmlns="898be809-5e21-4b54-881d-d8a3488368c8" xsi:nil="true"/>
    <TaxCatchAll xmlns="ef1c6b3d-2616-4020-9054-bdf2c47fde80">
      <Value>270</Value>
      <Value>313</Value>
      <Value>4</Value>
      <Value>309</Value>
      <Value>218</Value>
    </TaxCatchAll>
    <gabcb1eff41b4b4092332a967995e2a8 xmlns="898be809-5e21-4b54-881d-d8a3488368c8">
      <Terms xmlns="http://schemas.microsoft.com/office/infopath/2007/PartnerControls"/>
    </gabcb1eff41b4b4092332a967995e2a8>
    <aa25a1a23adf4c92a153145de6afe324 xmlns="ef1c6b3d-2616-4020-9054-bdf2c47fde80">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Comment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9EA47-4EF5-4FED-814B-0A41100C1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1c6b3d-2616-4020-9054-bdf2c47fde80"/>
    <ds:schemaRef ds:uri="898be809-5e21-4b54-881d-d8a348836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DEA31-06FE-4C0B-A729-7815D00B3F9D}">
  <ds:schemaRefs>
    <ds:schemaRef ds:uri="http://schemas.microsoft.com/sharepoint/v3/contenttype/forms"/>
  </ds:schemaRefs>
</ds:datastoreItem>
</file>

<file path=customXml/itemProps3.xml><?xml version="1.0" encoding="utf-8"?>
<ds:datastoreItem xmlns:ds="http://schemas.openxmlformats.org/officeDocument/2006/customXml" ds:itemID="{DA281824-0250-41F3-B4AC-A83ECE9259C3}">
  <ds:schemaRefs>
    <ds:schemaRef ds:uri="http://schemas.microsoft.com/sharepoint/events"/>
  </ds:schemaRefs>
</ds:datastoreItem>
</file>

<file path=customXml/itemProps4.xml><?xml version="1.0" encoding="utf-8"?>
<ds:datastoreItem xmlns:ds="http://schemas.openxmlformats.org/officeDocument/2006/customXml" ds:itemID="{ACABD38F-889E-47E4-AB64-832F0E2FA3B8}">
  <ds:schemaRefs>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f1c6b3d-2616-4020-9054-bdf2c47fde80"/>
    <ds:schemaRef ds:uri="898be809-5e21-4b54-881d-d8a3488368c8"/>
    <ds:schemaRef ds:uri="http://schemas.microsoft.com/sharepoint/v3"/>
    <ds:schemaRef ds:uri="http://www.w3.org/XML/1998/namespace"/>
  </ds:schemaRefs>
</ds:datastoreItem>
</file>

<file path=customXml/itemProps5.xml><?xml version="1.0" encoding="utf-8"?>
<ds:datastoreItem xmlns:ds="http://schemas.openxmlformats.org/officeDocument/2006/customXml" ds:itemID="{03F36C79-D7D0-41BF-B517-6B738D43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Department of Industry, Innovation and Science</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Godinez, Maria</dc:creator>
  <cp:keywords/>
  <dc:description/>
  <cp:lastModifiedBy>Collins, Thomas</cp:lastModifiedBy>
  <cp:revision>23</cp:revision>
  <cp:lastPrinted>2019-03-26T04:01:00Z</cp:lastPrinted>
  <dcterms:created xsi:type="dcterms:W3CDTF">2018-12-09T23:46:00Z</dcterms:created>
  <dcterms:modified xsi:type="dcterms:W3CDTF">2019-03-29T00:49:00Z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0x010100D199D9608FED8D498BCA2801844341AD</vt:lpwstr>
  </property>
  <property fmtid="{D5CDD505-2E9C-101B-9397-08002B2CF9AE}" pid="3" name="DocHub_Year">
    <vt:lpwstr>309;#2018|224abc7b-6f7e-4064-b773-6750976429b5</vt:lpwstr>
  </property>
  <property fmtid="{D5CDD505-2E9C-101B-9397-08002B2CF9AE}" pid="4" name="DocHub_DocumentType">
    <vt:lpwstr>218;#Paper|4fd73e9f-ceb6-4d3f-8d1d-e6ca9b922532</vt:lpwstr>
  </property>
  <property fmtid="{D5CDD505-2E9C-101B-9397-08002B2CF9AE}" pid="5" name="DocHub_SecurityClassification">
    <vt:lpwstr>4;#UNCLASSIFIED|6106d03b-a1a0-4e30-9d91-d5e9fb4314f9</vt:lpwstr>
  </property>
  <property fmtid="{D5CDD505-2E9C-101B-9397-08002B2CF9AE}" pid="6" name="DocHub_Keywords">
    <vt:lpwstr>270;#legislative review|a9a2bc7a-7334-4fb7-b490-5f5bcf70e530</vt:lpwstr>
  </property>
  <property fmtid="{D5CDD505-2E9C-101B-9397-08002B2CF9AE}" pid="7" name="DocHub_WorkActivity">
    <vt:lpwstr>313;#Stakeholder Engagement|e5a94374-c5c6-45f9-9ba5-263eb5e10d1f</vt:lpwstr>
  </property>
  <property fmtid="{D5CDD505-2E9C-101B-9397-08002B2CF9AE}" pid="8" name="DocHub_WorkTopic">
    <vt:lpwstr/>
  </property>
</Properties>
</file>