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348F02" w14:textId="7A778E4A" w:rsidR="006C5B78" w:rsidRDefault="006C5B78" w:rsidP="00247CB8">
      <w:pPr>
        <w:spacing w:before="480" w:after="0"/>
        <w:rPr>
          <w:szCs w:val="32"/>
          <w:lang w:val="en-US"/>
        </w:rPr>
      </w:pPr>
      <w:r>
        <w:rPr>
          <w:noProof/>
          <w:lang w:eastAsia="en-AU"/>
        </w:rPr>
        <w:drawing>
          <wp:inline distT="0" distB="0" distL="0" distR="0" wp14:anchorId="0FEEBF75" wp14:editId="2EB10299">
            <wp:extent cx="2238375" cy="709930"/>
            <wp:effectExtent l="0" t="0" r="9525" b="0"/>
            <wp:docPr id="5" name="Picture 5" descr="Crest of the Australian Government Department of Industry, Innovation and Science." title="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TCollins\AppData\Local\Microsoft\Windows\INetCache\Content.Word\DIIS.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38375" cy="709930"/>
                    </a:xfrm>
                    <a:prstGeom prst="rect">
                      <a:avLst/>
                    </a:prstGeom>
                    <a:noFill/>
                    <a:ln>
                      <a:noFill/>
                    </a:ln>
                  </pic:spPr>
                </pic:pic>
              </a:graphicData>
            </a:graphic>
          </wp:inline>
        </w:drawing>
      </w:r>
    </w:p>
    <w:p w14:paraId="7CDC5C3C" w14:textId="77777777" w:rsidR="00E16017" w:rsidRDefault="00324737" w:rsidP="00E16017">
      <w:pPr>
        <w:spacing w:before="3000" w:after="0"/>
        <w:rPr>
          <w:sz w:val="32"/>
          <w:szCs w:val="32"/>
          <w:lang w:val="en-US"/>
        </w:rPr>
      </w:pPr>
      <w:r w:rsidRPr="00E16017">
        <w:rPr>
          <w:szCs w:val="32"/>
          <w:lang w:val="en-US"/>
        </w:rPr>
        <w:t>DISCUSSION PAPER</w:t>
      </w:r>
      <w:r w:rsidRPr="00E16017">
        <w:rPr>
          <w:sz w:val="32"/>
          <w:szCs w:val="32"/>
          <w:lang w:val="en-US"/>
        </w:rPr>
        <w:t>:</w:t>
      </w:r>
    </w:p>
    <w:p w14:paraId="48858DF3" w14:textId="2CCB7098" w:rsidR="006E2252" w:rsidRPr="001A7E54" w:rsidRDefault="006E2252" w:rsidP="00E16017">
      <w:pPr>
        <w:pStyle w:val="Title"/>
        <w:rPr>
          <w:rFonts w:eastAsia="Arial" w:cstheme="majorHAnsi"/>
          <w:b w:val="0"/>
          <w:sz w:val="28"/>
          <w:szCs w:val="28"/>
          <w:shd w:val="clear" w:color="auto" w:fill="C973AF"/>
          <w:lang w:val="en-US"/>
        </w:rPr>
      </w:pPr>
      <w:r w:rsidRPr="001A7E54">
        <w:rPr>
          <w:b w:val="0"/>
          <w:lang w:val="en-US"/>
        </w:rPr>
        <w:t>MEASUREMENT-BASED TRANSACTIONS</w:t>
      </w:r>
    </w:p>
    <w:p w14:paraId="0732CA50" w14:textId="46A37805" w:rsidR="006E2252" w:rsidRPr="00E16017" w:rsidRDefault="006E2252" w:rsidP="006E2252">
      <w:pPr>
        <w:spacing w:after="0"/>
        <w:rPr>
          <w:rFonts w:asciiTheme="majorHAnsi" w:eastAsia="Arial" w:hAnsiTheme="majorHAnsi" w:cstheme="majorHAnsi"/>
          <w:sz w:val="28"/>
          <w:szCs w:val="28"/>
          <w:shd w:val="clear" w:color="auto" w:fill="C973AF"/>
          <w:lang w:val="en-US"/>
        </w:rPr>
      </w:pPr>
      <w:r w:rsidRPr="00E16017">
        <w:rPr>
          <w:sz w:val="28"/>
          <w:szCs w:val="28"/>
          <w:lang w:val="en-US"/>
        </w:rPr>
        <w:t>Measurement Law Review</w:t>
      </w:r>
    </w:p>
    <w:p w14:paraId="42880FD7" w14:textId="2BCF1212" w:rsidR="006E2252" w:rsidRPr="00E16017" w:rsidRDefault="006E2252" w:rsidP="006E2252">
      <w:pPr>
        <w:spacing w:before="240"/>
        <w:rPr>
          <w:rStyle w:val="Hyperlink"/>
          <w:color w:val="auto"/>
        </w:rPr>
      </w:pPr>
      <w:r w:rsidRPr="00E16017">
        <w:rPr>
          <w:sz w:val="28"/>
          <w:szCs w:val="28"/>
          <w:lang w:val="en-US"/>
        </w:rPr>
        <w:t>201</w:t>
      </w:r>
      <w:r w:rsidR="006716D8" w:rsidRPr="00E16017">
        <w:rPr>
          <w:sz w:val="28"/>
          <w:szCs w:val="28"/>
          <w:lang w:val="en-US"/>
        </w:rPr>
        <w:t>9</w:t>
      </w:r>
    </w:p>
    <w:p w14:paraId="13249129" w14:textId="072BAA9D" w:rsidR="00E16017" w:rsidRDefault="00E16017">
      <w:pPr>
        <w:rPr>
          <w:rFonts w:asciiTheme="majorHAnsi" w:eastAsiaTheme="majorEastAsia" w:hAnsiTheme="majorHAnsi" w:cstheme="majorBidi"/>
          <w:sz w:val="32"/>
          <w:szCs w:val="32"/>
        </w:rPr>
      </w:pPr>
      <w:r>
        <w:br w:type="page"/>
      </w:r>
    </w:p>
    <w:p w14:paraId="2DD50046" w14:textId="0F037823" w:rsidR="006E2252" w:rsidRPr="002C0412" w:rsidRDefault="006E2252" w:rsidP="002C0412">
      <w:pPr>
        <w:pStyle w:val="Heading1"/>
      </w:pPr>
      <w:bookmarkStart w:id="0" w:name="_Toc3461880"/>
      <w:r w:rsidRPr="002C0412">
        <w:lastRenderedPageBreak/>
        <w:t>Have your say</w:t>
      </w:r>
      <w:bookmarkEnd w:id="0"/>
    </w:p>
    <w:p w14:paraId="7D52B941" w14:textId="224E47E3" w:rsidR="006F45B5" w:rsidRDefault="006F45B5" w:rsidP="006F45B5">
      <w:pPr>
        <w:spacing w:after="360" w:line="276" w:lineRule="auto"/>
        <w:rPr>
          <w:rFonts w:eastAsia="Arial" w:cstheme="minorHAnsi"/>
          <w:lang w:val="en-GB"/>
        </w:rPr>
      </w:pPr>
      <w:r>
        <w:rPr>
          <w:rFonts w:eastAsia="Arial" w:cstheme="minorHAnsi"/>
          <w:lang w:val="en-GB"/>
        </w:rPr>
        <w:br/>
      </w:r>
      <w:r w:rsidRPr="002C0412">
        <w:rPr>
          <w:rFonts w:eastAsia="Arial" w:cstheme="minorHAnsi"/>
          <w:lang w:val="en-GB"/>
        </w:rPr>
        <w:t>The Australian Government is seeking responses to the issues and questions raised in this paper. You can submit your comments via the Department of Industry, Innovation and Scie</w:t>
      </w:r>
      <w:r>
        <w:rPr>
          <w:rFonts w:eastAsia="Arial" w:cstheme="minorHAnsi"/>
          <w:lang w:val="en-GB"/>
        </w:rPr>
        <w:t xml:space="preserve">nce’s Consultation Hub webpage. </w:t>
      </w:r>
      <w:hyperlink r:id="rId13" w:history="1">
        <w:r w:rsidRPr="0029560F">
          <w:rPr>
            <w:rStyle w:val="Hyperlink"/>
            <w:rFonts w:eastAsia="Arial" w:cstheme="minorHAnsi"/>
            <w:lang w:val="en-GB"/>
          </w:rPr>
          <w:t>https://consult.industry.gov.au/measurement-law-review/measurement-in-everyday-life</w:t>
        </w:r>
      </w:hyperlink>
      <w:r>
        <w:rPr>
          <w:rFonts w:eastAsia="Arial" w:cstheme="minorHAnsi"/>
          <w:u w:val="single"/>
          <w:lang w:val="en-GB"/>
        </w:rPr>
        <w:br/>
      </w:r>
      <w:r>
        <w:rPr>
          <w:rFonts w:eastAsia="Arial" w:cstheme="minorHAnsi"/>
          <w:u w:val="single"/>
          <w:lang w:val="en-GB"/>
        </w:rPr>
        <w:br/>
      </w:r>
      <w:r w:rsidRPr="002C0412">
        <w:rPr>
          <w:rFonts w:eastAsia="Arial" w:cstheme="minorHAnsi"/>
          <w:lang w:val="en-GB"/>
        </w:rPr>
        <w:t>Australia’s measurement laws can be found on the Federal Register of Legislation</w:t>
      </w:r>
      <w:r w:rsidR="003E307F">
        <w:rPr>
          <w:rFonts w:eastAsia="Arial" w:cstheme="minorHAnsi"/>
          <w:lang w:val="en-GB"/>
        </w:rPr>
        <w:t>.</w:t>
      </w:r>
      <w:bookmarkStart w:id="1" w:name="_GoBack"/>
      <w:bookmarkEnd w:id="1"/>
      <w:r w:rsidRPr="002C0412">
        <w:rPr>
          <w:rFonts w:eastAsia="Arial" w:cstheme="minorHAnsi"/>
          <w:lang w:val="en-GB"/>
        </w:rPr>
        <w:t xml:space="preserve"> </w:t>
      </w:r>
      <w:hyperlink r:id="rId14" w:history="1">
        <w:r w:rsidRPr="0029560F">
          <w:rPr>
            <w:rStyle w:val="Hyperlink"/>
            <w:rFonts w:eastAsia="Arial" w:cstheme="minorHAnsi"/>
            <w:lang w:val="en-GB"/>
          </w:rPr>
          <w:t>https://www.legislation.gov.au</w:t>
        </w:r>
      </w:hyperlink>
      <w:r>
        <w:rPr>
          <w:rFonts w:eastAsia="Arial" w:cstheme="minorHAnsi"/>
          <w:u w:val="dottedHeavy"/>
          <w:lang w:val="en-GB"/>
        </w:rPr>
        <w:br/>
      </w:r>
      <w:r>
        <w:rPr>
          <w:rFonts w:eastAsia="Arial" w:cstheme="minorHAnsi"/>
          <w:u w:val="dottedHeavy"/>
          <w:lang w:val="en-GB"/>
        </w:rPr>
        <w:br/>
      </w:r>
      <w:r w:rsidRPr="002C0412">
        <w:rPr>
          <w:rFonts w:eastAsia="Arial" w:cstheme="minorHAnsi"/>
          <w:lang w:val="en-GB"/>
        </w:rPr>
        <w:t>Submissions will be considered by the government to finalise options for reform.</w:t>
      </w:r>
      <w:r>
        <w:rPr>
          <w:rFonts w:eastAsia="Arial" w:cstheme="minorHAnsi"/>
          <w:lang w:val="en-GB"/>
        </w:rPr>
        <w:br/>
      </w:r>
      <w:r>
        <w:rPr>
          <w:rFonts w:eastAsia="Arial" w:cstheme="minorHAnsi"/>
          <w:lang w:val="en-GB"/>
        </w:rPr>
        <w:br/>
      </w:r>
      <w:r w:rsidRPr="002C0412">
        <w:rPr>
          <w:rFonts w:eastAsia="Arial" w:cstheme="minorHAnsi"/>
        </w:rPr>
        <w:t>If you have difficulties or questions, pl</w:t>
      </w:r>
      <w:r>
        <w:rPr>
          <w:rFonts w:eastAsia="Arial" w:cstheme="minorHAnsi"/>
        </w:rPr>
        <w:t xml:space="preserve">ease call 1300 686 664 or email </w:t>
      </w:r>
      <w:hyperlink r:id="rId15" w:history="1">
        <w:r w:rsidRPr="0029560F">
          <w:rPr>
            <w:rStyle w:val="Hyperlink"/>
            <w:rFonts w:eastAsia="Arial" w:cstheme="minorHAnsi"/>
          </w:rPr>
          <w:t>measurementlawreview@industry.gov.au</w:t>
        </w:r>
      </w:hyperlink>
      <w:r>
        <w:rPr>
          <w:rFonts w:eastAsia="Arial" w:cstheme="minorHAnsi"/>
          <w:u w:val="single"/>
        </w:rPr>
        <w:br/>
      </w:r>
      <w:r>
        <w:rPr>
          <w:rFonts w:eastAsia="Arial" w:cstheme="minorHAnsi"/>
          <w:u w:val="single"/>
        </w:rPr>
        <w:br/>
      </w:r>
      <w:r w:rsidRPr="002C0412">
        <w:rPr>
          <w:rFonts w:eastAsia="Arial" w:cstheme="minorHAnsi"/>
        </w:rPr>
        <w:t>The closing date for submission is</w:t>
      </w:r>
      <w:r>
        <w:rPr>
          <w:rFonts w:eastAsia="Arial" w:cstheme="minorHAnsi"/>
        </w:rPr>
        <w:t xml:space="preserve"> 31 May 2019</w:t>
      </w:r>
      <w:r w:rsidRPr="002C0412">
        <w:rPr>
          <w:rFonts w:eastAsia="Arial" w:cstheme="minorHAnsi"/>
        </w:rPr>
        <w:t>.</w:t>
      </w:r>
      <w:r>
        <w:rPr>
          <w:rFonts w:eastAsia="Arial" w:cstheme="minorHAnsi"/>
        </w:rPr>
        <w:br/>
      </w:r>
      <w:r>
        <w:rPr>
          <w:rFonts w:eastAsia="Arial" w:cstheme="minorHAnsi"/>
        </w:rPr>
        <w:br/>
      </w:r>
      <w:r w:rsidRPr="002C0412">
        <w:rPr>
          <w:rFonts w:eastAsia="Arial" w:cstheme="minorHAnsi"/>
          <w:lang w:val="en-GB"/>
        </w:rPr>
        <w:t>Submissions received may be made public on the consultation website, unless otherwise specified. Submissions should indicate whether any part of the content should not be disclosed to the public.</w:t>
      </w:r>
    </w:p>
    <w:p w14:paraId="4848C60D" w14:textId="77777777" w:rsidR="002835B8" w:rsidRPr="00E16017" w:rsidRDefault="002835B8">
      <w:pPr>
        <w:rPr>
          <w:rFonts w:eastAsia="Arial" w:cstheme="minorHAnsi"/>
          <w:b/>
          <w:sz w:val="20"/>
          <w:lang w:val="en-GB"/>
        </w:rPr>
      </w:pPr>
      <w:r w:rsidRPr="00E16017">
        <w:rPr>
          <w:rFonts w:eastAsia="Arial" w:cstheme="minorHAnsi"/>
          <w:b/>
          <w:sz w:val="20"/>
          <w:lang w:val="en-GB"/>
        </w:rPr>
        <w:br w:type="page"/>
      </w:r>
    </w:p>
    <w:sdt>
      <w:sdtPr>
        <w:rPr>
          <w:rFonts w:asciiTheme="minorHAnsi" w:eastAsiaTheme="minorHAnsi" w:hAnsiTheme="minorHAnsi" w:cstheme="minorBidi"/>
          <w:b/>
          <w:bCs/>
          <w:color w:val="auto"/>
          <w:sz w:val="48"/>
          <w:szCs w:val="28"/>
          <w:lang w:val="en-AU" w:eastAsia="ja-JP"/>
        </w:rPr>
        <w:id w:val="1096054120"/>
        <w:docPartObj>
          <w:docPartGallery w:val="Table of Contents"/>
          <w:docPartUnique/>
        </w:docPartObj>
      </w:sdtPr>
      <w:sdtEndPr>
        <w:rPr>
          <w:noProof/>
          <w:sz w:val="22"/>
          <w:szCs w:val="22"/>
          <w:lang w:eastAsia="en-US"/>
        </w:rPr>
      </w:sdtEndPr>
      <w:sdtContent>
        <w:p w14:paraId="43FDA2F3" w14:textId="2DB80196" w:rsidR="008A7CA7" w:rsidRPr="006E2252" w:rsidRDefault="006E2252">
          <w:pPr>
            <w:pStyle w:val="TOCHeading"/>
            <w:rPr>
              <w:b/>
              <w:bCs/>
              <w:color w:val="1F4E79" w:themeColor="accent1" w:themeShade="80"/>
              <w:sz w:val="48"/>
              <w:szCs w:val="28"/>
              <w:lang w:eastAsia="ja-JP"/>
            </w:rPr>
          </w:pPr>
          <w:r w:rsidRPr="006E2252">
            <w:rPr>
              <w:b/>
              <w:bCs/>
              <w:color w:val="1F4E79" w:themeColor="accent1" w:themeShade="80"/>
              <w:sz w:val="48"/>
              <w:szCs w:val="28"/>
              <w:lang w:eastAsia="ja-JP"/>
            </w:rPr>
            <w:t xml:space="preserve">Table of </w:t>
          </w:r>
          <w:r w:rsidR="008A7CA7" w:rsidRPr="006E2252">
            <w:rPr>
              <w:b/>
              <w:bCs/>
              <w:color w:val="1F4E79" w:themeColor="accent1" w:themeShade="80"/>
              <w:sz w:val="48"/>
              <w:szCs w:val="28"/>
              <w:lang w:eastAsia="ja-JP"/>
            </w:rPr>
            <w:t>Contents</w:t>
          </w:r>
        </w:p>
        <w:p w14:paraId="1FDFA185" w14:textId="77777777" w:rsidR="009A2266" w:rsidRDefault="008A7CA7">
          <w:pPr>
            <w:pStyle w:val="TOC1"/>
            <w:tabs>
              <w:tab w:val="right" w:leader="dot" w:pos="9016"/>
            </w:tabs>
            <w:rPr>
              <w:rFonts w:eastAsiaTheme="minorEastAsia"/>
              <w:noProof/>
              <w:lang w:eastAsia="en-AU"/>
            </w:rPr>
          </w:pPr>
          <w:r w:rsidRPr="00132F46">
            <w:fldChar w:fldCharType="begin"/>
          </w:r>
          <w:r w:rsidRPr="00E0352A">
            <w:instrText xml:space="preserve"> TOC \o "1-3" \h \z \u </w:instrText>
          </w:r>
          <w:r w:rsidRPr="00132F46">
            <w:fldChar w:fldCharType="separate"/>
          </w:r>
          <w:hyperlink w:anchor="_Toc3461880" w:history="1">
            <w:r w:rsidR="009A2266" w:rsidRPr="00F15E1C">
              <w:rPr>
                <w:rStyle w:val="Hyperlink"/>
                <w:noProof/>
              </w:rPr>
              <w:t>Have your say</w:t>
            </w:r>
            <w:r w:rsidR="009A2266">
              <w:rPr>
                <w:noProof/>
                <w:webHidden/>
              </w:rPr>
              <w:tab/>
            </w:r>
            <w:r w:rsidR="009A2266">
              <w:rPr>
                <w:noProof/>
                <w:webHidden/>
              </w:rPr>
              <w:fldChar w:fldCharType="begin"/>
            </w:r>
            <w:r w:rsidR="009A2266">
              <w:rPr>
                <w:noProof/>
                <w:webHidden/>
              </w:rPr>
              <w:instrText xml:space="preserve"> PAGEREF _Toc3461880 \h </w:instrText>
            </w:r>
            <w:r w:rsidR="009A2266">
              <w:rPr>
                <w:noProof/>
                <w:webHidden/>
              </w:rPr>
            </w:r>
            <w:r w:rsidR="009A2266">
              <w:rPr>
                <w:noProof/>
                <w:webHidden/>
              </w:rPr>
              <w:fldChar w:fldCharType="separate"/>
            </w:r>
            <w:r w:rsidR="009A2266">
              <w:rPr>
                <w:noProof/>
                <w:webHidden/>
              </w:rPr>
              <w:t>2</w:t>
            </w:r>
            <w:r w:rsidR="009A2266">
              <w:rPr>
                <w:noProof/>
                <w:webHidden/>
              </w:rPr>
              <w:fldChar w:fldCharType="end"/>
            </w:r>
          </w:hyperlink>
        </w:p>
        <w:p w14:paraId="61442742" w14:textId="77777777" w:rsidR="009A2266" w:rsidRDefault="003E307F">
          <w:pPr>
            <w:pStyle w:val="TOC1"/>
            <w:tabs>
              <w:tab w:val="left" w:pos="440"/>
              <w:tab w:val="right" w:leader="dot" w:pos="9016"/>
            </w:tabs>
            <w:rPr>
              <w:rFonts w:eastAsiaTheme="minorEastAsia"/>
              <w:noProof/>
              <w:lang w:eastAsia="en-AU"/>
            </w:rPr>
          </w:pPr>
          <w:hyperlink w:anchor="_Toc3461881" w:history="1">
            <w:r w:rsidR="009A2266" w:rsidRPr="00F15E1C">
              <w:rPr>
                <w:rStyle w:val="Hyperlink"/>
                <w:noProof/>
              </w:rPr>
              <w:t>1.</w:t>
            </w:r>
            <w:r w:rsidR="009A2266">
              <w:rPr>
                <w:rFonts w:eastAsiaTheme="minorEastAsia"/>
                <w:noProof/>
                <w:lang w:eastAsia="en-AU"/>
              </w:rPr>
              <w:tab/>
            </w:r>
            <w:r w:rsidR="009A2266" w:rsidRPr="00F15E1C">
              <w:rPr>
                <w:rStyle w:val="Hyperlink"/>
                <w:noProof/>
              </w:rPr>
              <w:t>Overview</w:t>
            </w:r>
            <w:r w:rsidR="009A2266">
              <w:rPr>
                <w:noProof/>
                <w:webHidden/>
              </w:rPr>
              <w:tab/>
            </w:r>
            <w:r w:rsidR="009A2266">
              <w:rPr>
                <w:noProof/>
                <w:webHidden/>
              </w:rPr>
              <w:fldChar w:fldCharType="begin"/>
            </w:r>
            <w:r w:rsidR="009A2266">
              <w:rPr>
                <w:noProof/>
                <w:webHidden/>
              </w:rPr>
              <w:instrText xml:space="preserve"> PAGEREF _Toc3461881 \h </w:instrText>
            </w:r>
            <w:r w:rsidR="009A2266">
              <w:rPr>
                <w:noProof/>
                <w:webHidden/>
              </w:rPr>
            </w:r>
            <w:r w:rsidR="009A2266">
              <w:rPr>
                <w:noProof/>
                <w:webHidden/>
              </w:rPr>
              <w:fldChar w:fldCharType="separate"/>
            </w:r>
            <w:r w:rsidR="009A2266">
              <w:rPr>
                <w:noProof/>
                <w:webHidden/>
              </w:rPr>
              <w:t>4</w:t>
            </w:r>
            <w:r w:rsidR="009A2266">
              <w:rPr>
                <w:noProof/>
                <w:webHidden/>
              </w:rPr>
              <w:fldChar w:fldCharType="end"/>
            </w:r>
          </w:hyperlink>
        </w:p>
        <w:p w14:paraId="0EA2F4CF" w14:textId="77777777" w:rsidR="009A2266" w:rsidRDefault="003E307F">
          <w:pPr>
            <w:pStyle w:val="TOC2"/>
            <w:tabs>
              <w:tab w:val="left" w:pos="880"/>
              <w:tab w:val="right" w:leader="dot" w:pos="9016"/>
            </w:tabs>
            <w:rPr>
              <w:rFonts w:eastAsiaTheme="minorEastAsia"/>
              <w:noProof/>
              <w:lang w:eastAsia="en-AU"/>
            </w:rPr>
          </w:pPr>
          <w:hyperlink w:anchor="_Toc3461882" w:history="1">
            <w:r w:rsidR="009A2266" w:rsidRPr="00F15E1C">
              <w:rPr>
                <w:rStyle w:val="Hyperlink"/>
                <w:noProof/>
              </w:rPr>
              <w:t>1.1.</w:t>
            </w:r>
            <w:r w:rsidR="009A2266">
              <w:rPr>
                <w:rFonts w:eastAsiaTheme="minorEastAsia"/>
                <w:noProof/>
                <w:lang w:eastAsia="en-AU"/>
              </w:rPr>
              <w:tab/>
            </w:r>
            <w:r w:rsidR="009A2266" w:rsidRPr="00F15E1C">
              <w:rPr>
                <w:rStyle w:val="Hyperlink"/>
                <w:noProof/>
              </w:rPr>
              <w:t>The Measurement Law Review (the Review)</w:t>
            </w:r>
            <w:r w:rsidR="009A2266">
              <w:rPr>
                <w:noProof/>
                <w:webHidden/>
              </w:rPr>
              <w:tab/>
            </w:r>
            <w:r w:rsidR="009A2266">
              <w:rPr>
                <w:noProof/>
                <w:webHidden/>
              </w:rPr>
              <w:fldChar w:fldCharType="begin"/>
            </w:r>
            <w:r w:rsidR="009A2266">
              <w:rPr>
                <w:noProof/>
                <w:webHidden/>
              </w:rPr>
              <w:instrText xml:space="preserve"> PAGEREF _Toc3461882 \h </w:instrText>
            </w:r>
            <w:r w:rsidR="009A2266">
              <w:rPr>
                <w:noProof/>
                <w:webHidden/>
              </w:rPr>
            </w:r>
            <w:r w:rsidR="009A2266">
              <w:rPr>
                <w:noProof/>
                <w:webHidden/>
              </w:rPr>
              <w:fldChar w:fldCharType="separate"/>
            </w:r>
            <w:r w:rsidR="009A2266">
              <w:rPr>
                <w:noProof/>
                <w:webHidden/>
              </w:rPr>
              <w:t>4</w:t>
            </w:r>
            <w:r w:rsidR="009A2266">
              <w:rPr>
                <w:noProof/>
                <w:webHidden/>
              </w:rPr>
              <w:fldChar w:fldCharType="end"/>
            </w:r>
          </w:hyperlink>
        </w:p>
        <w:p w14:paraId="1C9656E8" w14:textId="77777777" w:rsidR="009A2266" w:rsidRDefault="003E307F">
          <w:pPr>
            <w:pStyle w:val="TOC2"/>
            <w:tabs>
              <w:tab w:val="left" w:pos="880"/>
              <w:tab w:val="right" w:leader="dot" w:pos="9016"/>
            </w:tabs>
            <w:rPr>
              <w:rFonts w:eastAsiaTheme="minorEastAsia"/>
              <w:noProof/>
              <w:lang w:eastAsia="en-AU"/>
            </w:rPr>
          </w:pPr>
          <w:hyperlink w:anchor="_Toc3461883" w:history="1">
            <w:r w:rsidR="009A2266" w:rsidRPr="00F15E1C">
              <w:rPr>
                <w:rStyle w:val="Hyperlink"/>
                <w:noProof/>
              </w:rPr>
              <w:t>1.2.</w:t>
            </w:r>
            <w:r w:rsidR="009A2266">
              <w:rPr>
                <w:rFonts w:eastAsiaTheme="minorEastAsia"/>
                <w:noProof/>
                <w:lang w:eastAsia="en-AU"/>
              </w:rPr>
              <w:tab/>
            </w:r>
            <w:r w:rsidR="009A2266" w:rsidRPr="00F15E1C">
              <w:rPr>
                <w:rStyle w:val="Hyperlink"/>
                <w:noProof/>
              </w:rPr>
              <w:t>This Discussion Paper</w:t>
            </w:r>
            <w:r w:rsidR="009A2266">
              <w:rPr>
                <w:noProof/>
                <w:webHidden/>
              </w:rPr>
              <w:tab/>
            </w:r>
            <w:r w:rsidR="009A2266">
              <w:rPr>
                <w:noProof/>
                <w:webHidden/>
              </w:rPr>
              <w:fldChar w:fldCharType="begin"/>
            </w:r>
            <w:r w:rsidR="009A2266">
              <w:rPr>
                <w:noProof/>
                <w:webHidden/>
              </w:rPr>
              <w:instrText xml:space="preserve"> PAGEREF _Toc3461883 \h </w:instrText>
            </w:r>
            <w:r w:rsidR="009A2266">
              <w:rPr>
                <w:noProof/>
                <w:webHidden/>
              </w:rPr>
            </w:r>
            <w:r w:rsidR="009A2266">
              <w:rPr>
                <w:noProof/>
                <w:webHidden/>
              </w:rPr>
              <w:fldChar w:fldCharType="separate"/>
            </w:r>
            <w:r w:rsidR="009A2266">
              <w:rPr>
                <w:noProof/>
                <w:webHidden/>
              </w:rPr>
              <w:t>5</w:t>
            </w:r>
            <w:r w:rsidR="009A2266">
              <w:rPr>
                <w:noProof/>
                <w:webHidden/>
              </w:rPr>
              <w:fldChar w:fldCharType="end"/>
            </w:r>
          </w:hyperlink>
        </w:p>
        <w:p w14:paraId="4E90D47A" w14:textId="77777777" w:rsidR="009A2266" w:rsidRDefault="003E307F">
          <w:pPr>
            <w:pStyle w:val="TOC1"/>
            <w:tabs>
              <w:tab w:val="left" w:pos="440"/>
              <w:tab w:val="right" w:leader="dot" w:pos="9016"/>
            </w:tabs>
            <w:rPr>
              <w:rFonts w:eastAsiaTheme="minorEastAsia"/>
              <w:noProof/>
              <w:lang w:eastAsia="en-AU"/>
            </w:rPr>
          </w:pPr>
          <w:hyperlink w:anchor="_Toc3461884" w:history="1">
            <w:r w:rsidR="009A2266" w:rsidRPr="00F15E1C">
              <w:rPr>
                <w:rStyle w:val="Hyperlink"/>
                <w:noProof/>
              </w:rPr>
              <w:t>2.</w:t>
            </w:r>
            <w:r w:rsidR="009A2266">
              <w:rPr>
                <w:rFonts w:eastAsiaTheme="minorEastAsia"/>
                <w:noProof/>
                <w:lang w:eastAsia="en-AU"/>
              </w:rPr>
              <w:tab/>
            </w:r>
            <w:r w:rsidR="009A2266" w:rsidRPr="00F15E1C">
              <w:rPr>
                <w:rStyle w:val="Hyperlink"/>
                <w:noProof/>
              </w:rPr>
              <w:t>Measurement-Based Transactions</w:t>
            </w:r>
            <w:r w:rsidR="009A2266">
              <w:rPr>
                <w:noProof/>
                <w:webHidden/>
              </w:rPr>
              <w:tab/>
            </w:r>
            <w:r w:rsidR="009A2266">
              <w:rPr>
                <w:noProof/>
                <w:webHidden/>
              </w:rPr>
              <w:fldChar w:fldCharType="begin"/>
            </w:r>
            <w:r w:rsidR="009A2266">
              <w:rPr>
                <w:noProof/>
                <w:webHidden/>
              </w:rPr>
              <w:instrText xml:space="preserve"> PAGEREF _Toc3461884 \h </w:instrText>
            </w:r>
            <w:r w:rsidR="009A2266">
              <w:rPr>
                <w:noProof/>
                <w:webHidden/>
              </w:rPr>
            </w:r>
            <w:r w:rsidR="009A2266">
              <w:rPr>
                <w:noProof/>
                <w:webHidden/>
              </w:rPr>
              <w:fldChar w:fldCharType="separate"/>
            </w:r>
            <w:r w:rsidR="009A2266">
              <w:rPr>
                <w:noProof/>
                <w:webHidden/>
              </w:rPr>
              <w:t>6</w:t>
            </w:r>
            <w:r w:rsidR="009A2266">
              <w:rPr>
                <w:noProof/>
                <w:webHidden/>
              </w:rPr>
              <w:fldChar w:fldCharType="end"/>
            </w:r>
          </w:hyperlink>
        </w:p>
        <w:p w14:paraId="25343020" w14:textId="77777777" w:rsidR="009A2266" w:rsidRDefault="003E307F">
          <w:pPr>
            <w:pStyle w:val="TOC2"/>
            <w:tabs>
              <w:tab w:val="left" w:pos="880"/>
              <w:tab w:val="right" w:leader="dot" w:pos="9016"/>
            </w:tabs>
            <w:rPr>
              <w:rFonts w:eastAsiaTheme="minorEastAsia"/>
              <w:noProof/>
              <w:lang w:eastAsia="en-AU"/>
            </w:rPr>
          </w:pPr>
          <w:hyperlink w:anchor="_Toc3461885" w:history="1">
            <w:r w:rsidR="009A2266" w:rsidRPr="00F15E1C">
              <w:rPr>
                <w:rStyle w:val="Hyperlink"/>
                <w:noProof/>
              </w:rPr>
              <w:t>2.1.</w:t>
            </w:r>
            <w:r w:rsidR="009A2266">
              <w:rPr>
                <w:rFonts w:eastAsiaTheme="minorEastAsia"/>
                <w:noProof/>
                <w:lang w:eastAsia="en-AU"/>
              </w:rPr>
              <w:tab/>
            </w:r>
            <w:r w:rsidR="009A2266" w:rsidRPr="00F15E1C">
              <w:rPr>
                <w:rStyle w:val="Hyperlink"/>
                <w:noProof/>
              </w:rPr>
              <w:t>Current Approach</w:t>
            </w:r>
            <w:r w:rsidR="009A2266">
              <w:rPr>
                <w:noProof/>
                <w:webHidden/>
              </w:rPr>
              <w:tab/>
            </w:r>
            <w:r w:rsidR="009A2266">
              <w:rPr>
                <w:noProof/>
                <w:webHidden/>
              </w:rPr>
              <w:fldChar w:fldCharType="begin"/>
            </w:r>
            <w:r w:rsidR="009A2266">
              <w:rPr>
                <w:noProof/>
                <w:webHidden/>
              </w:rPr>
              <w:instrText xml:space="preserve"> PAGEREF _Toc3461885 \h </w:instrText>
            </w:r>
            <w:r w:rsidR="009A2266">
              <w:rPr>
                <w:noProof/>
                <w:webHidden/>
              </w:rPr>
            </w:r>
            <w:r w:rsidR="009A2266">
              <w:rPr>
                <w:noProof/>
                <w:webHidden/>
              </w:rPr>
              <w:fldChar w:fldCharType="separate"/>
            </w:r>
            <w:r w:rsidR="009A2266">
              <w:rPr>
                <w:noProof/>
                <w:webHidden/>
              </w:rPr>
              <w:t>6</w:t>
            </w:r>
            <w:r w:rsidR="009A2266">
              <w:rPr>
                <w:noProof/>
                <w:webHidden/>
              </w:rPr>
              <w:fldChar w:fldCharType="end"/>
            </w:r>
          </w:hyperlink>
        </w:p>
        <w:p w14:paraId="5E27135D" w14:textId="77777777" w:rsidR="009A2266" w:rsidRDefault="003E307F">
          <w:pPr>
            <w:pStyle w:val="TOC1"/>
            <w:tabs>
              <w:tab w:val="left" w:pos="440"/>
              <w:tab w:val="right" w:leader="dot" w:pos="9016"/>
            </w:tabs>
            <w:rPr>
              <w:rFonts w:eastAsiaTheme="minorEastAsia"/>
              <w:noProof/>
              <w:lang w:eastAsia="en-AU"/>
            </w:rPr>
          </w:pPr>
          <w:hyperlink w:anchor="_Toc3461886" w:history="1">
            <w:r w:rsidR="009A2266" w:rsidRPr="00F15E1C">
              <w:rPr>
                <w:rStyle w:val="Hyperlink"/>
                <w:noProof/>
              </w:rPr>
              <w:t>3.</w:t>
            </w:r>
            <w:r w:rsidR="009A2266">
              <w:rPr>
                <w:rFonts w:eastAsiaTheme="minorEastAsia"/>
                <w:noProof/>
                <w:lang w:eastAsia="en-AU"/>
              </w:rPr>
              <w:tab/>
            </w:r>
            <w:r w:rsidR="009A2266" w:rsidRPr="00F15E1C">
              <w:rPr>
                <w:rStyle w:val="Hyperlink"/>
                <w:noProof/>
              </w:rPr>
              <w:t>Incorrect Measurement (Shortfall)</w:t>
            </w:r>
            <w:r w:rsidR="009A2266">
              <w:rPr>
                <w:noProof/>
                <w:webHidden/>
              </w:rPr>
              <w:tab/>
            </w:r>
            <w:r w:rsidR="009A2266">
              <w:rPr>
                <w:noProof/>
                <w:webHidden/>
              </w:rPr>
              <w:fldChar w:fldCharType="begin"/>
            </w:r>
            <w:r w:rsidR="009A2266">
              <w:rPr>
                <w:noProof/>
                <w:webHidden/>
              </w:rPr>
              <w:instrText xml:space="preserve"> PAGEREF _Toc3461886 \h </w:instrText>
            </w:r>
            <w:r w:rsidR="009A2266">
              <w:rPr>
                <w:noProof/>
                <w:webHidden/>
              </w:rPr>
            </w:r>
            <w:r w:rsidR="009A2266">
              <w:rPr>
                <w:noProof/>
                <w:webHidden/>
              </w:rPr>
              <w:fldChar w:fldCharType="separate"/>
            </w:r>
            <w:r w:rsidR="009A2266">
              <w:rPr>
                <w:noProof/>
                <w:webHidden/>
              </w:rPr>
              <w:t>7</w:t>
            </w:r>
            <w:r w:rsidR="009A2266">
              <w:rPr>
                <w:noProof/>
                <w:webHidden/>
              </w:rPr>
              <w:fldChar w:fldCharType="end"/>
            </w:r>
          </w:hyperlink>
        </w:p>
        <w:p w14:paraId="1C1ECB87" w14:textId="77777777" w:rsidR="009A2266" w:rsidRDefault="003E307F">
          <w:pPr>
            <w:pStyle w:val="TOC2"/>
            <w:tabs>
              <w:tab w:val="left" w:pos="880"/>
              <w:tab w:val="right" w:leader="dot" w:pos="9016"/>
            </w:tabs>
            <w:rPr>
              <w:rFonts w:eastAsiaTheme="minorEastAsia"/>
              <w:noProof/>
              <w:lang w:eastAsia="en-AU"/>
            </w:rPr>
          </w:pPr>
          <w:hyperlink w:anchor="_Toc3461887" w:history="1">
            <w:r w:rsidR="009A2266" w:rsidRPr="00F15E1C">
              <w:rPr>
                <w:rStyle w:val="Hyperlink"/>
                <w:noProof/>
              </w:rPr>
              <w:t>3.1.</w:t>
            </w:r>
            <w:r w:rsidR="009A2266">
              <w:rPr>
                <w:rFonts w:eastAsiaTheme="minorEastAsia"/>
                <w:noProof/>
                <w:lang w:eastAsia="en-AU"/>
              </w:rPr>
              <w:tab/>
            </w:r>
            <w:r w:rsidR="009A2266" w:rsidRPr="00F15E1C">
              <w:rPr>
                <w:rStyle w:val="Hyperlink"/>
                <w:noProof/>
              </w:rPr>
              <w:t>Current Approach</w:t>
            </w:r>
            <w:r w:rsidR="009A2266">
              <w:rPr>
                <w:noProof/>
                <w:webHidden/>
              </w:rPr>
              <w:tab/>
            </w:r>
            <w:r w:rsidR="009A2266">
              <w:rPr>
                <w:noProof/>
                <w:webHidden/>
              </w:rPr>
              <w:fldChar w:fldCharType="begin"/>
            </w:r>
            <w:r w:rsidR="009A2266">
              <w:rPr>
                <w:noProof/>
                <w:webHidden/>
              </w:rPr>
              <w:instrText xml:space="preserve"> PAGEREF _Toc3461887 \h </w:instrText>
            </w:r>
            <w:r w:rsidR="009A2266">
              <w:rPr>
                <w:noProof/>
                <w:webHidden/>
              </w:rPr>
            </w:r>
            <w:r w:rsidR="009A2266">
              <w:rPr>
                <w:noProof/>
                <w:webHidden/>
              </w:rPr>
              <w:fldChar w:fldCharType="separate"/>
            </w:r>
            <w:r w:rsidR="009A2266">
              <w:rPr>
                <w:noProof/>
                <w:webHidden/>
              </w:rPr>
              <w:t>7</w:t>
            </w:r>
            <w:r w:rsidR="009A2266">
              <w:rPr>
                <w:noProof/>
                <w:webHidden/>
              </w:rPr>
              <w:fldChar w:fldCharType="end"/>
            </w:r>
          </w:hyperlink>
        </w:p>
        <w:p w14:paraId="6472AD5E" w14:textId="77777777" w:rsidR="009A2266" w:rsidRDefault="003E307F">
          <w:pPr>
            <w:pStyle w:val="TOC2"/>
            <w:tabs>
              <w:tab w:val="left" w:pos="880"/>
              <w:tab w:val="right" w:leader="dot" w:pos="9016"/>
            </w:tabs>
            <w:rPr>
              <w:rFonts w:eastAsiaTheme="minorEastAsia"/>
              <w:noProof/>
              <w:lang w:eastAsia="en-AU"/>
            </w:rPr>
          </w:pPr>
          <w:hyperlink w:anchor="_Toc3461888" w:history="1">
            <w:r w:rsidR="009A2266" w:rsidRPr="00F15E1C">
              <w:rPr>
                <w:rStyle w:val="Hyperlink"/>
                <w:noProof/>
              </w:rPr>
              <w:t>3.2.</w:t>
            </w:r>
            <w:r w:rsidR="009A2266">
              <w:rPr>
                <w:rFonts w:eastAsiaTheme="minorEastAsia"/>
                <w:noProof/>
                <w:lang w:eastAsia="en-AU"/>
              </w:rPr>
              <w:tab/>
            </w:r>
            <w:r w:rsidR="009A2266" w:rsidRPr="00F15E1C">
              <w:rPr>
                <w:rStyle w:val="Hyperlink"/>
                <w:noProof/>
              </w:rPr>
              <w:t>Issues</w:t>
            </w:r>
            <w:r w:rsidR="009A2266">
              <w:rPr>
                <w:noProof/>
                <w:webHidden/>
              </w:rPr>
              <w:tab/>
            </w:r>
            <w:r w:rsidR="009A2266">
              <w:rPr>
                <w:noProof/>
                <w:webHidden/>
              </w:rPr>
              <w:fldChar w:fldCharType="begin"/>
            </w:r>
            <w:r w:rsidR="009A2266">
              <w:rPr>
                <w:noProof/>
                <w:webHidden/>
              </w:rPr>
              <w:instrText xml:space="preserve"> PAGEREF _Toc3461888 \h </w:instrText>
            </w:r>
            <w:r w:rsidR="009A2266">
              <w:rPr>
                <w:noProof/>
                <w:webHidden/>
              </w:rPr>
            </w:r>
            <w:r w:rsidR="009A2266">
              <w:rPr>
                <w:noProof/>
                <w:webHidden/>
              </w:rPr>
              <w:fldChar w:fldCharType="separate"/>
            </w:r>
            <w:r w:rsidR="009A2266">
              <w:rPr>
                <w:noProof/>
                <w:webHidden/>
              </w:rPr>
              <w:t>8</w:t>
            </w:r>
            <w:r w:rsidR="009A2266">
              <w:rPr>
                <w:noProof/>
                <w:webHidden/>
              </w:rPr>
              <w:fldChar w:fldCharType="end"/>
            </w:r>
          </w:hyperlink>
        </w:p>
        <w:p w14:paraId="1E71D940" w14:textId="77777777" w:rsidR="009A2266" w:rsidRDefault="003E307F">
          <w:pPr>
            <w:pStyle w:val="TOC1"/>
            <w:tabs>
              <w:tab w:val="left" w:pos="440"/>
              <w:tab w:val="right" w:leader="dot" w:pos="9016"/>
            </w:tabs>
            <w:rPr>
              <w:rFonts w:eastAsiaTheme="minorEastAsia"/>
              <w:noProof/>
              <w:lang w:eastAsia="en-AU"/>
            </w:rPr>
          </w:pPr>
          <w:hyperlink w:anchor="_Toc3461889" w:history="1">
            <w:r w:rsidR="009A2266" w:rsidRPr="00F15E1C">
              <w:rPr>
                <w:rStyle w:val="Hyperlink"/>
                <w:noProof/>
              </w:rPr>
              <w:t>4.</w:t>
            </w:r>
            <w:r w:rsidR="009A2266">
              <w:rPr>
                <w:rFonts w:eastAsiaTheme="minorEastAsia"/>
                <w:noProof/>
                <w:lang w:eastAsia="en-AU"/>
              </w:rPr>
              <w:tab/>
            </w:r>
            <w:r w:rsidR="009A2266" w:rsidRPr="00F15E1C">
              <w:rPr>
                <w:rStyle w:val="Hyperlink"/>
                <w:noProof/>
              </w:rPr>
              <w:t>Sale of Non-Packaged Goods</w:t>
            </w:r>
            <w:r w:rsidR="009A2266">
              <w:rPr>
                <w:noProof/>
                <w:webHidden/>
              </w:rPr>
              <w:tab/>
            </w:r>
            <w:r w:rsidR="009A2266">
              <w:rPr>
                <w:noProof/>
                <w:webHidden/>
              </w:rPr>
              <w:fldChar w:fldCharType="begin"/>
            </w:r>
            <w:r w:rsidR="009A2266">
              <w:rPr>
                <w:noProof/>
                <w:webHidden/>
              </w:rPr>
              <w:instrText xml:space="preserve"> PAGEREF _Toc3461889 \h </w:instrText>
            </w:r>
            <w:r w:rsidR="009A2266">
              <w:rPr>
                <w:noProof/>
                <w:webHidden/>
              </w:rPr>
            </w:r>
            <w:r w:rsidR="009A2266">
              <w:rPr>
                <w:noProof/>
                <w:webHidden/>
              </w:rPr>
              <w:fldChar w:fldCharType="separate"/>
            </w:r>
            <w:r w:rsidR="009A2266">
              <w:rPr>
                <w:noProof/>
                <w:webHidden/>
              </w:rPr>
              <w:t>9</w:t>
            </w:r>
            <w:r w:rsidR="009A2266">
              <w:rPr>
                <w:noProof/>
                <w:webHidden/>
              </w:rPr>
              <w:fldChar w:fldCharType="end"/>
            </w:r>
          </w:hyperlink>
        </w:p>
        <w:p w14:paraId="10A82786" w14:textId="77777777" w:rsidR="009A2266" w:rsidRDefault="003E307F">
          <w:pPr>
            <w:pStyle w:val="TOC2"/>
            <w:tabs>
              <w:tab w:val="left" w:pos="880"/>
              <w:tab w:val="right" w:leader="dot" w:pos="9016"/>
            </w:tabs>
            <w:rPr>
              <w:rFonts w:eastAsiaTheme="minorEastAsia"/>
              <w:noProof/>
              <w:lang w:eastAsia="en-AU"/>
            </w:rPr>
          </w:pPr>
          <w:hyperlink w:anchor="_Toc3461890" w:history="1">
            <w:r w:rsidR="009A2266" w:rsidRPr="00F15E1C">
              <w:rPr>
                <w:rStyle w:val="Hyperlink"/>
                <w:noProof/>
              </w:rPr>
              <w:t>4.1.</w:t>
            </w:r>
            <w:r w:rsidR="009A2266">
              <w:rPr>
                <w:rFonts w:eastAsiaTheme="minorEastAsia"/>
                <w:noProof/>
                <w:lang w:eastAsia="en-AU"/>
              </w:rPr>
              <w:tab/>
            </w:r>
            <w:r w:rsidR="009A2266" w:rsidRPr="00F15E1C">
              <w:rPr>
                <w:rStyle w:val="Hyperlink"/>
                <w:noProof/>
              </w:rPr>
              <w:t>Current Approach</w:t>
            </w:r>
            <w:r w:rsidR="009A2266">
              <w:rPr>
                <w:noProof/>
                <w:webHidden/>
              </w:rPr>
              <w:tab/>
            </w:r>
            <w:r w:rsidR="009A2266">
              <w:rPr>
                <w:noProof/>
                <w:webHidden/>
              </w:rPr>
              <w:fldChar w:fldCharType="begin"/>
            </w:r>
            <w:r w:rsidR="009A2266">
              <w:rPr>
                <w:noProof/>
                <w:webHidden/>
              </w:rPr>
              <w:instrText xml:space="preserve"> PAGEREF _Toc3461890 \h </w:instrText>
            </w:r>
            <w:r w:rsidR="009A2266">
              <w:rPr>
                <w:noProof/>
                <w:webHidden/>
              </w:rPr>
            </w:r>
            <w:r w:rsidR="009A2266">
              <w:rPr>
                <w:noProof/>
                <w:webHidden/>
              </w:rPr>
              <w:fldChar w:fldCharType="separate"/>
            </w:r>
            <w:r w:rsidR="009A2266">
              <w:rPr>
                <w:noProof/>
                <w:webHidden/>
              </w:rPr>
              <w:t>9</w:t>
            </w:r>
            <w:r w:rsidR="009A2266">
              <w:rPr>
                <w:noProof/>
                <w:webHidden/>
              </w:rPr>
              <w:fldChar w:fldCharType="end"/>
            </w:r>
          </w:hyperlink>
        </w:p>
        <w:p w14:paraId="1E00E6CB" w14:textId="77777777" w:rsidR="009A2266" w:rsidRDefault="003E307F">
          <w:pPr>
            <w:pStyle w:val="TOC2"/>
            <w:tabs>
              <w:tab w:val="left" w:pos="880"/>
              <w:tab w:val="right" w:leader="dot" w:pos="9016"/>
            </w:tabs>
            <w:rPr>
              <w:rFonts w:eastAsiaTheme="minorEastAsia"/>
              <w:noProof/>
              <w:lang w:eastAsia="en-AU"/>
            </w:rPr>
          </w:pPr>
          <w:hyperlink w:anchor="_Toc3461891" w:history="1">
            <w:r w:rsidR="009A2266" w:rsidRPr="00F15E1C">
              <w:rPr>
                <w:rStyle w:val="Hyperlink"/>
                <w:noProof/>
              </w:rPr>
              <w:t>4.2.</w:t>
            </w:r>
            <w:r w:rsidR="009A2266">
              <w:rPr>
                <w:rFonts w:eastAsiaTheme="minorEastAsia"/>
                <w:noProof/>
                <w:lang w:eastAsia="en-AU"/>
              </w:rPr>
              <w:tab/>
            </w:r>
            <w:r w:rsidR="009A2266" w:rsidRPr="00F15E1C">
              <w:rPr>
                <w:rStyle w:val="Hyperlink"/>
                <w:noProof/>
              </w:rPr>
              <w:t>Issues</w:t>
            </w:r>
            <w:r w:rsidR="009A2266">
              <w:rPr>
                <w:noProof/>
                <w:webHidden/>
              </w:rPr>
              <w:tab/>
            </w:r>
            <w:r w:rsidR="009A2266">
              <w:rPr>
                <w:noProof/>
                <w:webHidden/>
              </w:rPr>
              <w:fldChar w:fldCharType="begin"/>
            </w:r>
            <w:r w:rsidR="009A2266">
              <w:rPr>
                <w:noProof/>
                <w:webHidden/>
              </w:rPr>
              <w:instrText xml:space="preserve"> PAGEREF _Toc3461891 \h </w:instrText>
            </w:r>
            <w:r w:rsidR="009A2266">
              <w:rPr>
                <w:noProof/>
                <w:webHidden/>
              </w:rPr>
            </w:r>
            <w:r w:rsidR="009A2266">
              <w:rPr>
                <w:noProof/>
                <w:webHidden/>
              </w:rPr>
              <w:fldChar w:fldCharType="separate"/>
            </w:r>
            <w:r w:rsidR="009A2266">
              <w:rPr>
                <w:noProof/>
                <w:webHidden/>
              </w:rPr>
              <w:t>10</w:t>
            </w:r>
            <w:r w:rsidR="009A2266">
              <w:rPr>
                <w:noProof/>
                <w:webHidden/>
              </w:rPr>
              <w:fldChar w:fldCharType="end"/>
            </w:r>
          </w:hyperlink>
        </w:p>
        <w:p w14:paraId="23A2CC8B" w14:textId="77777777" w:rsidR="009A2266" w:rsidRDefault="003E307F">
          <w:pPr>
            <w:pStyle w:val="TOC1"/>
            <w:tabs>
              <w:tab w:val="left" w:pos="440"/>
              <w:tab w:val="right" w:leader="dot" w:pos="9016"/>
            </w:tabs>
            <w:rPr>
              <w:rFonts w:eastAsiaTheme="minorEastAsia"/>
              <w:noProof/>
              <w:lang w:eastAsia="en-AU"/>
            </w:rPr>
          </w:pPr>
          <w:hyperlink w:anchor="_Toc3461892" w:history="1">
            <w:r w:rsidR="009A2266" w:rsidRPr="00F15E1C">
              <w:rPr>
                <w:rStyle w:val="Hyperlink"/>
                <w:noProof/>
              </w:rPr>
              <w:t>5.</w:t>
            </w:r>
            <w:r w:rsidR="009A2266">
              <w:rPr>
                <w:rFonts w:eastAsiaTheme="minorEastAsia"/>
                <w:noProof/>
                <w:lang w:eastAsia="en-AU"/>
              </w:rPr>
              <w:tab/>
            </w:r>
            <w:r w:rsidR="009A2266" w:rsidRPr="00F15E1C">
              <w:rPr>
                <w:rStyle w:val="Hyperlink"/>
                <w:noProof/>
              </w:rPr>
              <w:t>Sale of Packaged Goods – Type and Units of Measure</w:t>
            </w:r>
            <w:r w:rsidR="009A2266">
              <w:rPr>
                <w:noProof/>
                <w:webHidden/>
              </w:rPr>
              <w:tab/>
            </w:r>
            <w:r w:rsidR="009A2266">
              <w:rPr>
                <w:noProof/>
                <w:webHidden/>
              </w:rPr>
              <w:fldChar w:fldCharType="begin"/>
            </w:r>
            <w:r w:rsidR="009A2266">
              <w:rPr>
                <w:noProof/>
                <w:webHidden/>
              </w:rPr>
              <w:instrText xml:space="preserve"> PAGEREF _Toc3461892 \h </w:instrText>
            </w:r>
            <w:r w:rsidR="009A2266">
              <w:rPr>
                <w:noProof/>
                <w:webHidden/>
              </w:rPr>
            </w:r>
            <w:r w:rsidR="009A2266">
              <w:rPr>
                <w:noProof/>
                <w:webHidden/>
              </w:rPr>
              <w:fldChar w:fldCharType="separate"/>
            </w:r>
            <w:r w:rsidR="009A2266">
              <w:rPr>
                <w:noProof/>
                <w:webHidden/>
              </w:rPr>
              <w:t>12</w:t>
            </w:r>
            <w:r w:rsidR="009A2266">
              <w:rPr>
                <w:noProof/>
                <w:webHidden/>
              </w:rPr>
              <w:fldChar w:fldCharType="end"/>
            </w:r>
          </w:hyperlink>
        </w:p>
        <w:p w14:paraId="378DBF52" w14:textId="77777777" w:rsidR="009A2266" w:rsidRDefault="003E307F">
          <w:pPr>
            <w:pStyle w:val="TOC2"/>
            <w:tabs>
              <w:tab w:val="left" w:pos="880"/>
              <w:tab w:val="right" w:leader="dot" w:pos="9016"/>
            </w:tabs>
            <w:rPr>
              <w:rFonts w:eastAsiaTheme="minorEastAsia"/>
              <w:noProof/>
              <w:lang w:eastAsia="en-AU"/>
            </w:rPr>
          </w:pPr>
          <w:hyperlink w:anchor="_Toc3461893" w:history="1">
            <w:r w:rsidR="009A2266" w:rsidRPr="00F15E1C">
              <w:rPr>
                <w:rStyle w:val="Hyperlink"/>
                <w:noProof/>
              </w:rPr>
              <w:t>5.1.</w:t>
            </w:r>
            <w:r w:rsidR="009A2266">
              <w:rPr>
                <w:rFonts w:eastAsiaTheme="minorEastAsia"/>
                <w:noProof/>
                <w:lang w:eastAsia="en-AU"/>
              </w:rPr>
              <w:tab/>
            </w:r>
            <w:r w:rsidR="009A2266" w:rsidRPr="00F15E1C">
              <w:rPr>
                <w:rStyle w:val="Hyperlink"/>
                <w:noProof/>
              </w:rPr>
              <w:t>Current Approach</w:t>
            </w:r>
            <w:r w:rsidR="009A2266">
              <w:rPr>
                <w:noProof/>
                <w:webHidden/>
              </w:rPr>
              <w:tab/>
            </w:r>
            <w:r w:rsidR="009A2266">
              <w:rPr>
                <w:noProof/>
                <w:webHidden/>
              </w:rPr>
              <w:fldChar w:fldCharType="begin"/>
            </w:r>
            <w:r w:rsidR="009A2266">
              <w:rPr>
                <w:noProof/>
                <w:webHidden/>
              </w:rPr>
              <w:instrText xml:space="preserve"> PAGEREF _Toc3461893 \h </w:instrText>
            </w:r>
            <w:r w:rsidR="009A2266">
              <w:rPr>
                <w:noProof/>
                <w:webHidden/>
              </w:rPr>
            </w:r>
            <w:r w:rsidR="009A2266">
              <w:rPr>
                <w:noProof/>
                <w:webHidden/>
              </w:rPr>
              <w:fldChar w:fldCharType="separate"/>
            </w:r>
            <w:r w:rsidR="009A2266">
              <w:rPr>
                <w:noProof/>
                <w:webHidden/>
              </w:rPr>
              <w:t>12</w:t>
            </w:r>
            <w:r w:rsidR="009A2266">
              <w:rPr>
                <w:noProof/>
                <w:webHidden/>
              </w:rPr>
              <w:fldChar w:fldCharType="end"/>
            </w:r>
          </w:hyperlink>
        </w:p>
        <w:p w14:paraId="53F189ED" w14:textId="77777777" w:rsidR="009A2266" w:rsidRDefault="003E307F">
          <w:pPr>
            <w:pStyle w:val="TOC2"/>
            <w:tabs>
              <w:tab w:val="left" w:pos="880"/>
              <w:tab w:val="right" w:leader="dot" w:pos="9016"/>
            </w:tabs>
            <w:rPr>
              <w:rFonts w:eastAsiaTheme="minorEastAsia"/>
              <w:noProof/>
              <w:lang w:eastAsia="en-AU"/>
            </w:rPr>
          </w:pPr>
          <w:hyperlink w:anchor="_Toc3461894" w:history="1">
            <w:r w:rsidR="009A2266" w:rsidRPr="00F15E1C">
              <w:rPr>
                <w:rStyle w:val="Hyperlink"/>
                <w:noProof/>
              </w:rPr>
              <w:t>5.2.</w:t>
            </w:r>
            <w:r w:rsidR="009A2266">
              <w:rPr>
                <w:rFonts w:eastAsiaTheme="minorEastAsia"/>
                <w:noProof/>
                <w:lang w:eastAsia="en-AU"/>
              </w:rPr>
              <w:tab/>
            </w:r>
            <w:r w:rsidR="009A2266" w:rsidRPr="00F15E1C">
              <w:rPr>
                <w:rStyle w:val="Hyperlink"/>
                <w:noProof/>
              </w:rPr>
              <w:t>Issues</w:t>
            </w:r>
            <w:r w:rsidR="009A2266">
              <w:rPr>
                <w:noProof/>
                <w:webHidden/>
              </w:rPr>
              <w:tab/>
            </w:r>
            <w:r w:rsidR="009A2266">
              <w:rPr>
                <w:noProof/>
                <w:webHidden/>
              </w:rPr>
              <w:fldChar w:fldCharType="begin"/>
            </w:r>
            <w:r w:rsidR="009A2266">
              <w:rPr>
                <w:noProof/>
                <w:webHidden/>
              </w:rPr>
              <w:instrText xml:space="preserve"> PAGEREF _Toc3461894 \h </w:instrText>
            </w:r>
            <w:r w:rsidR="009A2266">
              <w:rPr>
                <w:noProof/>
                <w:webHidden/>
              </w:rPr>
            </w:r>
            <w:r w:rsidR="009A2266">
              <w:rPr>
                <w:noProof/>
                <w:webHidden/>
              </w:rPr>
              <w:fldChar w:fldCharType="separate"/>
            </w:r>
            <w:r w:rsidR="009A2266">
              <w:rPr>
                <w:noProof/>
                <w:webHidden/>
              </w:rPr>
              <w:t>13</w:t>
            </w:r>
            <w:r w:rsidR="009A2266">
              <w:rPr>
                <w:noProof/>
                <w:webHidden/>
              </w:rPr>
              <w:fldChar w:fldCharType="end"/>
            </w:r>
          </w:hyperlink>
        </w:p>
        <w:p w14:paraId="74451A78" w14:textId="77777777" w:rsidR="009A2266" w:rsidRDefault="003E307F">
          <w:pPr>
            <w:pStyle w:val="TOC1"/>
            <w:tabs>
              <w:tab w:val="left" w:pos="440"/>
              <w:tab w:val="right" w:leader="dot" w:pos="9016"/>
            </w:tabs>
            <w:rPr>
              <w:rFonts w:eastAsiaTheme="minorEastAsia"/>
              <w:noProof/>
              <w:lang w:eastAsia="en-AU"/>
            </w:rPr>
          </w:pPr>
          <w:hyperlink w:anchor="_Toc3461895" w:history="1">
            <w:r w:rsidR="009A2266" w:rsidRPr="00F15E1C">
              <w:rPr>
                <w:rStyle w:val="Hyperlink"/>
                <w:noProof/>
              </w:rPr>
              <w:t>6.</w:t>
            </w:r>
            <w:r w:rsidR="009A2266">
              <w:rPr>
                <w:rFonts w:eastAsiaTheme="minorEastAsia"/>
                <w:noProof/>
                <w:lang w:eastAsia="en-AU"/>
              </w:rPr>
              <w:tab/>
            </w:r>
            <w:r w:rsidR="009A2266" w:rsidRPr="00F15E1C">
              <w:rPr>
                <w:rStyle w:val="Hyperlink"/>
                <w:noProof/>
              </w:rPr>
              <w:t>Testing packaged goods</w:t>
            </w:r>
            <w:r w:rsidR="009A2266">
              <w:rPr>
                <w:noProof/>
                <w:webHidden/>
              </w:rPr>
              <w:tab/>
            </w:r>
            <w:r w:rsidR="009A2266">
              <w:rPr>
                <w:noProof/>
                <w:webHidden/>
              </w:rPr>
              <w:fldChar w:fldCharType="begin"/>
            </w:r>
            <w:r w:rsidR="009A2266">
              <w:rPr>
                <w:noProof/>
                <w:webHidden/>
              </w:rPr>
              <w:instrText xml:space="preserve"> PAGEREF _Toc3461895 \h </w:instrText>
            </w:r>
            <w:r w:rsidR="009A2266">
              <w:rPr>
                <w:noProof/>
                <w:webHidden/>
              </w:rPr>
            </w:r>
            <w:r w:rsidR="009A2266">
              <w:rPr>
                <w:noProof/>
                <w:webHidden/>
              </w:rPr>
              <w:fldChar w:fldCharType="separate"/>
            </w:r>
            <w:r w:rsidR="009A2266">
              <w:rPr>
                <w:noProof/>
                <w:webHidden/>
              </w:rPr>
              <w:t>14</w:t>
            </w:r>
            <w:r w:rsidR="009A2266">
              <w:rPr>
                <w:noProof/>
                <w:webHidden/>
              </w:rPr>
              <w:fldChar w:fldCharType="end"/>
            </w:r>
          </w:hyperlink>
        </w:p>
        <w:p w14:paraId="1A15517A" w14:textId="77777777" w:rsidR="009A2266" w:rsidRDefault="003E307F">
          <w:pPr>
            <w:pStyle w:val="TOC2"/>
            <w:tabs>
              <w:tab w:val="left" w:pos="880"/>
              <w:tab w:val="right" w:leader="dot" w:pos="9016"/>
            </w:tabs>
            <w:rPr>
              <w:rFonts w:eastAsiaTheme="minorEastAsia"/>
              <w:noProof/>
              <w:lang w:eastAsia="en-AU"/>
            </w:rPr>
          </w:pPr>
          <w:hyperlink w:anchor="_Toc3461896" w:history="1">
            <w:r w:rsidR="009A2266" w:rsidRPr="00F15E1C">
              <w:rPr>
                <w:rStyle w:val="Hyperlink"/>
                <w:noProof/>
              </w:rPr>
              <w:t>6.1.</w:t>
            </w:r>
            <w:r w:rsidR="009A2266">
              <w:rPr>
                <w:rFonts w:eastAsiaTheme="minorEastAsia"/>
                <w:noProof/>
                <w:lang w:eastAsia="en-AU"/>
              </w:rPr>
              <w:tab/>
            </w:r>
            <w:r w:rsidR="009A2266" w:rsidRPr="00F15E1C">
              <w:rPr>
                <w:rStyle w:val="Hyperlink"/>
                <w:noProof/>
              </w:rPr>
              <w:t>Average Quantity System (AQS)</w:t>
            </w:r>
            <w:r w:rsidR="009A2266">
              <w:rPr>
                <w:noProof/>
                <w:webHidden/>
              </w:rPr>
              <w:tab/>
            </w:r>
            <w:r w:rsidR="009A2266">
              <w:rPr>
                <w:noProof/>
                <w:webHidden/>
              </w:rPr>
              <w:fldChar w:fldCharType="begin"/>
            </w:r>
            <w:r w:rsidR="009A2266">
              <w:rPr>
                <w:noProof/>
                <w:webHidden/>
              </w:rPr>
              <w:instrText xml:space="preserve"> PAGEREF _Toc3461896 \h </w:instrText>
            </w:r>
            <w:r w:rsidR="009A2266">
              <w:rPr>
                <w:noProof/>
                <w:webHidden/>
              </w:rPr>
            </w:r>
            <w:r w:rsidR="009A2266">
              <w:rPr>
                <w:noProof/>
                <w:webHidden/>
              </w:rPr>
              <w:fldChar w:fldCharType="separate"/>
            </w:r>
            <w:r w:rsidR="009A2266">
              <w:rPr>
                <w:noProof/>
                <w:webHidden/>
              </w:rPr>
              <w:t>14</w:t>
            </w:r>
            <w:r w:rsidR="009A2266">
              <w:rPr>
                <w:noProof/>
                <w:webHidden/>
              </w:rPr>
              <w:fldChar w:fldCharType="end"/>
            </w:r>
          </w:hyperlink>
        </w:p>
        <w:p w14:paraId="3EE36DBE" w14:textId="77777777" w:rsidR="009A2266" w:rsidRDefault="003E307F">
          <w:pPr>
            <w:pStyle w:val="TOC2"/>
            <w:tabs>
              <w:tab w:val="left" w:pos="880"/>
              <w:tab w:val="right" w:leader="dot" w:pos="9016"/>
            </w:tabs>
            <w:rPr>
              <w:rFonts w:eastAsiaTheme="minorEastAsia"/>
              <w:noProof/>
              <w:lang w:eastAsia="en-AU"/>
            </w:rPr>
          </w:pPr>
          <w:hyperlink w:anchor="_Toc3461897" w:history="1">
            <w:r w:rsidR="009A2266" w:rsidRPr="00F15E1C">
              <w:rPr>
                <w:rStyle w:val="Hyperlink"/>
                <w:noProof/>
              </w:rPr>
              <w:t>6.2.</w:t>
            </w:r>
            <w:r w:rsidR="009A2266">
              <w:rPr>
                <w:rFonts w:eastAsiaTheme="minorEastAsia"/>
                <w:noProof/>
                <w:lang w:eastAsia="en-AU"/>
              </w:rPr>
              <w:tab/>
            </w:r>
            <w:r w:rsidR="009A2266" w:rsidRPr="00F15E1C">
              <w:rPr>
                <w:rStyle w:val="Hyperlink"/>
                <w:noProof/>
              </w:rPr>
              <w:t>System for packages not marked with an AQS mark</w:t>
            </w:r>
            <w:r w:rsidR="009A2266">
              <w:rPr>
                <w:noProof/>
                <w:webHidden/>
              </w:rPr>
              <w:tab/>
            </w:r>
            <w:r w:rsidR="009A2266">
              <w:rPr>
                <w:noProof/>
                <w:webHidden/>
              </w:rPr>
              <w:fldChar w:fldCharType="begin"/>
            </w:r>
            <w:r w:rsidR="009A2266">
              <w:rPr>
                <w:noProof/>
                <w:webHidden/>
              </w:rPr>
              <w:instrText xml:space="preserve"> PAGEREF _Toc3461897 \h </w:instrText>
            </w:r>
            <w:r w:rsidR="009A2266">
              <w:rPr>
                <w:noProof/>
                <w:webHidden/>
              </w:rPr>
            </w:r>
            <w:r w:rsidR="009A2266">
              <w:rPr>
                <w:noProof/>
                <w:webHidden/>
              </w:rPr>
              <w:fldChar w:fldCharType="separate"/>
            </w:r>
            <w:r w:rsidR="009A2266">
              <w:rPr>
                <w:noProof/>
                <w:webHidden/>
              </w:rPr>
              <w:t>15</w:t>
            </w:r>
            <w:r w:rsidR="009A2266">
              <w:rPr>
                <w:noProof/>
                <w:webHidden/>
              </w:rPr>
              <w:fldChar w:fldCharType="end"/>
            </w:r>
          </w:hyperlink>
        </w:p>
        <w:p w14:paraId="35F5E33F" w14:textId="77777777" w:rsidR="009A2266" w:rsidRDefault="003E307F">
          <w:pPr>
            <w:pStyle w:val="TOC2"/>
            <w:tabs>
              <w:tab w:val="left" w:pos="880"/>
              <w:tab w:val="right" w:leader="dot" w:pos="9016"/>
            </w:tabs>
            <w:rPr>
              <w:rFonts w:eastAsiaTheme="minorEastAsia"/>
              <w:noProof/>
              <w:lang w:eastAsia="en-AU"/>
            </w:rPr>
          </w:pPr>
          <w:hyperlink w:anchor="_Toc3461898" w:history="1">
            <w:r w:rsidR="009A2266" w:rsidRPr="00F15E1C">
              <w:rPr>
                <w:rStyle w:val="Hyperlink"/>
                <w:noProof/>
              </w:rPr>
              <w:t>6.3.</w:t>
            </w:r>
            <w:r w:rsidR="009A2266">
              <w:rPr>
                <w:rFonts w:eastAsiaTheme="minorEastAsia"/>
                <w:noProof/>
                <w:lang w:eastAsia="en-AU"/>
              </w:rPr>
              <w:tab/>
            </w:r>
            <w:r w:rsidR="009A2266" w:rsidRPr="00F15E1C">
              <w:rPr>
                <w:rStyle w:val="Hyperlink"/>
                <w:noProof/>
              </w:rPr>
              <w:t>Issues</w:t>
            </w:r>
            <w:r w:rsidR="009A2266">
              <w:rPr>
                <w:noProof/>
                <w:webHidden/>
              </w:rPr>
              <w:tab/>
            </w:r>
            <w:r w:rsidR="009A2266">
              <w:rPr>
                <w:noProof/>
                <w:webHidden/>
              </w:rPr>
              <w:fldChar w:fldCharType="begin"/>
            </w:r>
            <w:r w:rsidR="009A2266">
              <w:rPr>
                <w:noProof/>
                <w:webHidden/>
              </w:rPr>
              <w:instrText xml:space="preserve"> PAGEREF _Toc3461898 \h </w:instrText>
            </w:r>
            <w:r w:rsidR="009A2266">
              <w:rPr>
                <w:noProof/>
                <w:webHidden/>
              </w:rPr>
            </w:r>
            <w:r w:rsidR="009A2266">
              <w:rPr>
                <w:noProof/>
                <w:webHidden/>
              </w:rPr>
              <w:fldChar w:fldCharType="separate"/>
            </w:r>
            <w:r w:rsidR="009A2266">
              <w:rPr>
                <w:noProof/>
                <w:webHidden/>
              </w:rPr>
              <w:t>16</w:t>
            </w:r>
            <w:r w:rsidR="009A2266">
              <w:rPr>
                <w:noProof/>
                <w:webHidden/>
              </w:rPr>
              <w:fldChar w:fldCharType="end"/>
            </w:r>
          </w:hyperlink>
        </w:p>
        <w:p w14:paraId="65CE0E5E" w14:textId="2227DF0C" w:rsidR="002A5070" w:rsidRDefault="008A7CA7" w:rsidP="002A5070">
          <w:pPr>
            <w:keepNext/>
            <w:keepLines/>
            <w:spacing w:after="0" w:line="276" w:lineRule="auto"/>
            <w:outlineLvl w:val="0"/>
          </w:pPr>
          <w:r w:rsidRPr="00132F46">
            <w:fldChar w:fldCharType="end"/>
          </w:r>
        </w:p>
      </w:sdtContent>
    </w:sdt>
    <w:bookmarkStart w:id="2" w:name="_Toc529897215" w:displacedByCustomXml="prev"/>
    <w:bookmarkStart w:id="3" w:name="_Toc530140680" w:displacedByCustomXml="prev"/>
    <w:bookmarkStart w:id="4" w:name="_Toc530412656" w:displacedByCustomXml="prev"/>
    <w:p w14:paraId="5B79605C" w14:textId="77777777" w:rsidR="001B6BC8" w:rsidRDefault="001B6BC8">
      <w:pPr>
        <w:rPr>
          <w:rFonts w:ascii="Arial" w:eastAsia="MS PGothic" w:hAnsi="Arial" w:cs="Times New Roman"/>
          <w:b/>
          <w:bCs/>
          <w:color w:val="004059"/>
          <w:sz w:val="48"/>
          <w:szCs w:val="28"/>
        </w:rPr>
      </w:pPr>
      <w:r>
        <w:rPr>
          <w:rFonts w:ascii="Arial" w:eastAsia="MS PGothic" w:hAnsi="Arial" w:cs="Times New Roman"/>
          <w:b/>
          <w:bCs/>
          <w:color w:val="004059"/>
          <w:sz w:val="48"/>
          <w:szCs w:val="28"/>
        </w:rPr>
        <w:br w:type="page"/>
      </w:r>
    </w:p>
    <w:p w14:paraId="170026C6" w14:textId="38B6F9B8" w:rsidR="002A5070" w:rsidRPr="007116E9" w:rsidRDefault="00BC6F41" w:rsidP="007116E9">
      <w:pPr>
        <w:pStyle w:val="Heading1"/>
        <w:numPr>
          <w:ilvl w:val="0"/>
          <w:numId w:val="61"/>
        </w:numPr>
      </w:pPr>
      <w:bookmarkStart w:id="5" w:name="_Toc3461881"/>
      <w:bookmarkStart w:id="6" w:name="_Toc536700731"/>
      <w:bookmarkEnd w:id="4"/>
      <w:bookmarkEnd w:id="3"/>
      <w:bookmarkEnd w:id="2"/>
      <w:r w:rsidRPr="007116E9">
        <w:lastRenderedPageBreak/>
        <w:t>Overview</w:t>
      </w:r>
      <w:bookmarkEnd w:id="5"/>
      <w:r w:rsidR="002A5070" w:rsidRPr="007116E9">
        <w:t xml:space="preserve"> </w:t>
      </w:r>
      <w:bookmarkEnd w:id="6"/>
    </w:p>
    <w:p w14:paraId="11A56AE4" w14:textId="5AF1EFBA" w:rsidR="00BC6F41" w:rsidRPr="00F14F91" w:rsidRDefault="003B4228" w:rsidP="00BC6F41">
      <w:pPr>
        <w:rPr>
          <w:rFonts w:cs="Times New Roman"/>
        </w:rPr>
      </w:pPr>
      <w:r w:rsidRPr="00F14F91">
        <w:t xml:space="preserve">Measurement plays an important role in Australia’s economy. </w:t>
      </w:r>
      <w:r w:rsidR="00BC6F41" w:rsidRPr="00F14F91">
        <w:t>As</w:t>
      </w:r>
      <w:r w:rsidR="00642A3C">
        <w:t xml:space="preserve"> detailed in section 51</w:t>
      </w:r>
      <w:r w:rsidR="00BC6F41" w:rsidRPr="00F14F91">
        <w:t>(xv) of the Constitution, the Australian Government has responsibility for weights and measures and, in keeping with this responsibility, enacted legislation to carry out its metrological functions</w:t>
      </w:r>
      <w:r w:rsidR="00BC6F41" w:rsidRPr="00F14F91">
        <w:rPr>
          <w:rFonts w:cs="Times New Roman"/>
        </w:rPr>
        <w:t>. The objectives of this legislation include establishing and coordinating a uniform national system of measurement, including trade measurement.</w:t>
      </w:r>
    </w:p>
    <w:p w14:paraId="564DEA5D" w14:textId="77777777" w:rsidR="00164B4D" w:rsidRDefault="00164B4D" w:rsidP="00164B4D">
      <w:r>
        <w:t>A 2015 independent</w:t>
      </w:r>
      <w:r w:rsidRPr="00505332">
        <w:t xml:space="preserve"> </w:t>
      </w:r>
      <w:r>
        <w:t>review of Australia’s legal metrology activities indicated while the national measurement system is working well, the legislation is:</w:t>
      </w:r>
    </w:p>
    <w:p w14:paraId="0624CD34" w14:textId="77777777" w:rsidR="00164B4D" w:rsidRPr="006E0F9C" w:rsidRDefault="00164B4D" w:rsidP="00164B4D">
      <w:pPr>
        <w:numPr>
          <w:ilvl w:val="0"/>
          <w:numId w:val="62"/>
        </w:numPr>
        <w:contextualSpacing/>
        <w:rPr>
          <w:rFonts w:eastAsia="Times New Roman" w:cs="Times New Roman"/>
        </w:rPr>
      </w:pPr>
      <w:r w:rsidRPr="006E0F9C">
        <w:rPr>
          <w:rFonts w:eastAsia="Times New Roman" w:cs="Times New Roman"/>
        </w:rPr>
        <w:t>very prescriptive and needs to address matters of policy and principle, reduce prescription and remove matters of detail (regulatory processes) into subordinate legislation or guidance material</w:t>
      </w:r>
    </w:p>
    <w:p w14:paraId="4CE0E815" w14:textId="77777777" w:rsidR="00164B4D" w:rsidRDefault="00164B4D" w:rsidP="00164B4D">
      <w:pPr>
        <w:numPr>
          <w:ilvl w:val="0"/>
          <w:numId w:val="62"/>
        </w:numPr>
        <w:contextualSpacing/>
        <w:rPr>
          <w:rFonts w:eastAsia="Times New Roman" w:cs="Times New Roman"/>
        </w:rPr>
      </w:pPr>
      <w:r w:rsidRPr="006E0F9C">
        <w:rPr>
          <w:rFonts w:eastAsia="Times New Roman" w:cs="Times New Roman"/>
        </w:rPr>
        <w:t>complicated and needs to enable the public to understand their obligations and the implications of regulatory measurements, and</w:t>
      </w:r>
    </w:p>
    <w:p w14:paraId="6B343D33" w14:textId="77777777" w:rsidR="00164B4D" w:rsidRPr="008652AB" w:rsidRDefault="00164B4D" w:rsidP="00164B4D">
      <w:pPr>
        <w:numPr>
          <w:ilvl w:val="0"/>
          <w:numId w:val="62"/>
        </w:numPr>
        <w:rPr>
          <w:rFonts w:eastAsia="Times New Roman" w:cs="Times New Roman"/>
        </w:rPr>
      </w:pPr>
      <w:r w:rsidRPr="00C7702A">
        <w:rPr>
          <w:rFonts w:eastAsia="Times New Roman" w:cs="Times New Roman"/>
        </w:rPr>
        <w:t>not easy to understand and needs to be written in plain language to improve clarity and simplicity</w:t>
      </w:r>
      <w:r w:rsidRPr="000D0024">
        <w:t>.</w:t>
      </w:r>
    </w:p>
    <w:p w14:paraId="55D7A8EF" w14:textId="6DD413F6" w:rsidR="00BC6F41" w:rsidRPr="00F14F91" w:rsidRDefault="00BC6F41" w:rsidP="00BC6F41">
      <w:r w:rsidRPr="00F14F91">
        <w:t xml:space="preserve">The </w:t>
      </w:r>
      <w:r w:rsidR="0044574E" w:rsidRPr="00F14F91">
        <w:t xml:space="preserve">measurement law needs to: better reflect and integrate current policy and principles into the legislation; articulate performance outcomes; and enhance flexibility, </w:t>
      </w:r>
      <w:r w:rsidR="0044574E">
        <w:t>with consideration given to</w:t>
      </w:r>
      <w:r w:rsidR="0044574E" w:rsidRPr="00F14F91">
        <w:t xml:space="preserve"> the application of a principl</w:t>
      </w:r>
      <w:r w:rsidR="0044574E">
        <w:t>es-based approach.</w:t>
      </w:r>
    </w:p>
    <w:p w14:paraId="4D78ABB2" w14:textId="2C6061AD" w:rsidR="00BC6F41" w:rsidRPr="00F14F91" w:rsidRDefault="00BC6F41" w:rsidP="007116E9">
      <w:pPr>
        <w:pStyle w:val="Heading2"/>
        <w:numPr>
          <w:ilvl w:val="1"/>
          <w:numId w:val="61"/>
        </w:numPr>
        <w:ind w:left="720" w:hanging="720"/>
      </w:pPr>
      <w:bookmarkStart w:id="7" w:name="_Toc3461882"/>
      <w:r w:rsidRPr="00F14F91">
        <w:t xml:space="preserve">The </w:t>
      </w:r>
      <w:r w:rsidR="00BA79B7">
        <w:t xml:space="preserve">Measurement Law </w:t>
      </w:r>
      <w:r w:rsidRPr="00F14F91">
        <w:t>Review</w:t>
      </w:r>
      <w:r w:rsidR="00BA79B7">
        <w:t xml:space="preserve"> (the Review)</w:t>
      </w:r>
      <w:bookmarkEnd w:id="7"/>
    </w:p>
    <w:p w14:paraId="295FA175" w14:textId="77777777" w:rsidR="00BC6F41" w:rsidRPr="00F14F91" w:rsidRDefault="00BC6F41" w:rsidP="00BC6F41">
      <w:r w:rsidRPr="00F14F91">
        <w:t>The Australian Government is conducting a review of Australia’s measurement laws. The review aims to ensure Australia’s measurement framework can support the economy now and into the future as technology, industry and consumer needs evolve.</w:t>
      </w:r>
    </w:p>
    <w:p w14:paraId="54C1DE85" w14:textId="31BAB06A" w:rsidR="00BC6F41" w:rsidRPr="00F14F91" w:rsidRDefault="00BC6F41" w:rsidP="00BC6F41">
      <w:r w:rsidRPr="00F14F91">
        <w:t xml:space="preserve">The Review provides an opportunity to consider whether the </w:t>
      </w:r>
      <w:r w:rsidR="00DB2F2A">
        <w:t xml:space="preserve">current </w:t>
      </w:r>
      <w:r w:rsidRPr="00F14F91">
        <w:t>legislation continues to be appropriate, effective and efficient. This paper is not an exhaustive exploration of the topic and you are welcome to raise issues and views not outlined in this paper in your submission.</w:t>
      </w:r>
      <w:r w:rsidR="003B4228" w:rsidRPr="00F14F91">
        <w:t xml:space="preserve"> </w:t>
      </w:r>
      <w:r w:rsidR="00780B41">
        <w:t>Q</w:t>
      </w:r>
      <w:r w:rsidR="003B4228" w:rsidRPr="00F14F91">
        <w:t xml:space="preserve">uestions are provided at the end of each section to prompt feedback. Any calculations of costs or benefits </w:t>
      </w:r>
      <w:r w:rsidR="003E3A0A">
        <w:t xml:space="preserve">of the current </w:t>
      </w:r>
      <w:r w:rsidR="003B4228" w:rsidRPr="00F14F91">
        <w:t>regulations</w:t>
      </w:r>
      <w:r w:rsidR="003E3A0A">
        <w:t xml:space="preserve"> or in response to identified issues</w:t>
      </w:r>
      <w:r w:rsidR="003B4228" w:rsidRPr="00F14F91">
        <w:t xml:space="preserve"> would be useful to include in your submission.</w:t>
      </w:r>
    </w:p>
    <w:p w14:paraId="2C826611" w14:textId="4CAE60B6" w:rsidR="00BC6F41" w:rsidRPr="00F14F91" w:rsidRDefault="00BC6F41" w:rsidP="00BC6F41">
      <w:r w:rsidRPr="00F14F91">
        <w:t xml:space="preserve">The Review </w:t>
      </w:r>
      <w:r w:rsidR="0042716F">
        <w:t xml:space="preserve">secretariat </w:t>
      </w:r>
      <w:r w:rsidRPr="00F14F91">
        <w:t>would be interested in receiving responses from parties including, but not limited to:</w:t>
      </w:r>
    </w:p>
    <w:p w14:paraId="6B826AC3" w14:textId="665B967F" w:rsidR="00A47BBD" w:rsidRPr="00F14F91" w:rsidRDefault="007116E9" w:rsidP="00132F46">
      <w:pPr>
        <w:pStyle w:val="ListParagraph"/>
        <w:numPr>
          <w:ilvl w:val="0"/>
          <w:numId w:val="44"/>
        </w:numPr>
      </w:pPr>
      <w:r>
        <w:t>businesses or individuals</w:t>
      </w:r>
      <w:r w:rsidRPr="0030755B">
        <w:t xml:space="preserve"> involved in making </w:t>
      </w:r>
      <w:r>
        <w:t xml:space="preserve">or relying on </w:t>
      </w:r>
      <w:r w:rsidRPr="0030755B">
        <w:t>measurements under the legislative framework</w:t>
      </w:r>
    </w:p>
    <w:p w14:paraId="05469B34" w14:textId="62A96D63" w:rsidR="00A47BBD" w:rsidRPr="00F14F91" w:rsidRDefault="00A47BBD" w:rsidP="00132F46">
      <w:pPr>
        <w:pStyle w:val="ListParagraph"/>
        <w:numPr>
          <w:ilvl w:val="0"/>
          <w:numId w:val="44"/>
        </w:numPr>
      </w:pPr>
      <w:r w:rsidRPr="00F14F91">
        <w:t>providers of physical, chemical and/or biological measurement services</w:t>
      </w:r>
    </w:p>
    <w:p w14:paraId="10EF14B1" w14:textId="18D65458" w:rsidR="007116E9" w:rsidRDefault="00A47BBD" w:rsidP="00132F46">
      <w:pPr>
        <w:pStyle w:val="ListParagraph"/>
        <w:numPr>
          <w:ilvl w:val="0"/>
          <w:numId w:val="44"/>
        </w:numPr>
      </w:pPr>
      <w:r w:rsidRPr="00F14F91">
        <w:t>providers of measuring instruments</w:t>
      </w:r>
    </w:p>
    <w:p w14:paraId="00BCBDC9" w14:textId="716E8497" w:rsidR="00A47BBD" w:rsidRPr="00F14F91" w:rsidRDefault="00A47BBD" w:rsidP="00132F46">
      <w:pPr>
        <w:pStyle w:val="ListParagraph"/>
        <w:numPr>
          <w:ilvl w:val="0"/>
          <w:numId w:val="44"/>
        </w:numPr>
      </w:pPr>
      <w:r w:rsidRPr="00F14F91">
        <w:t>innov</w:t>
      </w:r>
      <w:r w:rsidR="006B4233">
        <w:t>ators of measurement technology</w:t>
      </w:r>
    </w:p>
    <w:p w14:paraId="63C97BB8" w14:textId="37E17FC7" w:rsidR="00A47BBD" w:rsidRPr="00F14F91" w:rsidRDefault="00A47BBD" w:rsidP="00132F46">
      <w:pPr>
        <w:pStyle w:val="ListParagraph"/>
        <w:numPr>
          <w:ilvl w:val="0"/>
          <w:numId w:val="44"/>
        </w:numPr>
      </w:pPr>
      <w:r w:rsidRPr="00F14F91">
        <w:t>jurisdictional agencies whose regul</w:t>
      </w:r>
      <w:r w:rsidR="006B4233">
        <w:t>ations call up measurement laws</w:t>
      </w:r>
      <w:r w:rsidR="001F08D6">
        <w:t>,</w:t>
      </w:r>
      <w:r w:rsidR="007116E9">
        <w:t xml:space="preserve"> and</w:t>
      </w:r>
    </w:p>
    <w:p w14:paraId="58C78FB9" w14:textId="48146A5F" w:rsidR="00A47BBD" w:rsidRDefault="00A47BBD" w:rsidP="00132F46">
      <w:pPr>
        <w:pStyle w:val="ListParagraph"/>
        <w:numPr>
          <w:ilvl w:val="0"/>
          <w:numId w:val="44"/>
        </w:numPr>
      </w:pPr>
      <w:r w:rsidRPr="00F14F91">
        <w:t xml:space="preserve">consumers and the general public who </w:t>
      </w:r>
      <w:r w:rsidR="001D54C8">
        <w:t>rely on or are impacted by</w:t>
      </w:r>
      <w:r w:rsidRPr="00F14F91">
        <w:t xml:space="preserve"> measurement in their daily lives.</w:t>
      </w:r>
    </w:p>
    <w:p w14:paraId="55BAD96A" w14:textId="523CE0C6" w:rsidR="00BC6F41" w:rsidRPr="00F14F91" w:rsidRDefault="00BC6F41" w:rsidP="00BC6F41">
      <w:pPr>
        <w:rPr>
          <w:rStyle w:val="Hyperlink"/>
          <w:color w:val="70AD47" w:themeColor="accent6"/>
          <w:sz w:val="20"/>
          <w:szCs w:val="20"/>
          <w:lang w:val="en-GB"/>
        </w:rPr>
      </w:pPr>
      <w:r w:rsidRPr="00F14F91">
        <w:t xml:space="preserve">For more information on the Review, please </w:t>
      </w:r>
      <w:r w:rsidRPr="00AF0B9F">
        <w:t xml:space="preserve">visit </w:t>
      </w:r>
      <w:hyperlink r:id="rId16" w:tooltip="Measurement Law Review website link" w:history="1">
        <w:r w:rsidR="002205EB" w:rsidRPr="00AF0B9F">
          <w:rPr>
            <w:rStyle w:val="Hyperlink"/>
            <w:lang w:val="en-GB"/>
          </w:rPr>
          <w:t>www.industry.gov.au/measurement-law-review</w:t>
        </w:r>
      </w:hyperlink>
      <w:r w:rsidR="002205EB">
        <w:rPr>
          <w:rStyle w:val="Hyperlink"/>
          <w:color w:val="70AD47" w:themeColor="accent6"/>
          <w:sz w:val="20"/>
          <w:szCs w:val="20"/>
          <w:lang w:val="en-GB"/>
        </w:rPr>
        <w:t xml:space="preserve"> </w:t>
      </w:r>
    </w:p>
    <w:p w14:paraId="7C339ADC" w14:textId="252AF25A" w:rsidR="00BC6F41" w:rsidRPr="00EE7A08" w:rsidRDefault="00BC6F41" w:rsidP="007116E9">
      <w:pPr>
        <w:pStyle w:val="Heading2"/>
        <w:numPr>
          <w:ilvl w:val="1"/>
          <w:numId w:val="61"/>
        </w:numPr>
        <w:ind w:left="720" w:hanging="720"/>
      </w:pPr>
      <w:bookmarkStart w:id="8" w:name="_Toc527534748"/>
      <w:bookmarkStart w:id="9" w:name="_Toc3461883"/>
      <w:bookmarkEnd w:id="8"/>
      <w:r w:rsidRPr="00EE7A08">
        <w:lastRenderedPageBreak/>
        <w:t>Th</w:t>
      </w:r>
      <w:r w:rsidR="003B4228" w:rsidRPr="00EE7A08">
        <w:t>is</w:t>
      </w:r>
      <w:r w:rsidRPr="00EE7A08">
        <w:t xml:space="preserve"> Discussion Paper</w:t>
      </w:r>
      <w:bookmarkEnd w:id="9"/>
    </w:p>
    <w:p w14:paraId="78149D9C" w14:textId="60EFD6EC" w:rsidR="00482B64" w:rsidRPr="003B50A1" w:rsidRDefault="00482B64" w:rsidP="003746A1">
      <w:pPr>
        <w:keepNext/>
        <w:keepLines/>
        <w:pBdr>
          <w:top w:val="single" w:sz="4" w:space="4" w:color="ED7D31" w:themeColor="accent2"/>
          <w:left w:val="single" w:sz="4" w:space="4" w:color="ED7D31" w:themeColor="accent2"/>
          <w:bottom w:val="single" w:sz="4" w:space="4" w:color="ED7D31" w:themeColor="accent2"/>
          <w:right w:val="single" w:sz="4" w:space="4" w:color="ED7D31" w:themeColor="accent2"/>
        </w:pBdr>
        <w:shd w:val="clear" w:color="auto" w:fill="FDF1E9" w:themeFill="accent2" w:themeFillTint="1A"/>
        <w:ind w:left="142" w:right="95"/>
        <w:rPr>
          <w:rFonts w:eastAsia="Times New Roman" w:cs="Times New Roman"/>
        </w:rPr>
      </w:pPr>
      <w:r w:rsidRPr="003B50A1">
        <w:rPr>
          <w:rFonts w:eastAsia="Times New Roman" w:cs="Times New Roman"/>
        </w:rPr>
        <w:t xml:space="preserve">This paper outlines the current legal framework that supports confidence in measurement-based transactions </w:t>
      </w:r>
      <w:r w:rsidR="00AC2D51" w:rsidRPr="003B50A1">
        <w:t>(e.g. purchasing fuel at a petrol station or exporting grain)</w:t>
      </w:r>
      <w:r w:rsidRPr="003B50A1">
        <w:rPr>
          <w:rFonts w:eastAsia="Times New Roman" w:cs="Times New Roman"/>
        </w:rPr>
        <w:t xml:space="preserve">. The current </w:t>
      </w:r>
      <w:r w:rsidRPr="003B50A1">
        <w:t>legal framework aims to give businesses and consumers assurance that measurements are indeed what they purport to be and enable them to trade fairly and confidently.</w:t>
      </w:r>
      <w:r w:rsidR="003746A1" w:rsidRPr="003B50A1">
        <w:t xml:space="preserve"> </w:t>
      </w:r>
      <w:r w:rsidRPr="003B50A1">
        <w:rPr>
          <w:rFonts w:eastAsia="Times New Roman" w:cs="Times New Roman"/>
        </w:rPr>
        <w:t xml:space="preserve">The </w:t>
      </w:r>
      <w:r w:rsidR="002234AC">
        <w:rPr>
          <w:rFonts w:eastAsia="Times New Roman" w:cs="Times New Roman"/>
        </w:rPr>
        <w:t>paper seeks input on how the current framework for measurement-based transactions is working and opportunities to reduce prescription and improve flexibility while maintaining confidence in Australia’s measurement system.</w:t>
      </w:r>
    </w:p>
    <w:p w14:paraId="2D9A091D" w14:textId="2CD6DE91" w:rsidR="00BC6F41" w:rsidRPr="00F14F91" w:rsidRDefault="00BC6F41" w:rsidP="00BC6F41">
      <w:r w:rsidRPr="00F14F91">
        <w:t xml:space="preserve">This discussion paper on </w:t>
      </w:r>
      <w:r w:rsidR="00DB2F2A" w:rsidRPr="00EE7A08">
        <w:rPr>
          <w:i/>
        </w:rPr>
        <w:t>M</w:t>
      </w:r>
      <w:r w:rsidR="00D1201D">
        <w:rPr>
          <w:i/>
        </w:rPr>
        <w:t>easurement-B</w:t>
      </w:r>
      <w:r w:rsidR="00B57853" w:rsidRPr="00EE7A08">
        <w:rPr>
          <w:i/>
        </w:rPr>
        <w:t xml:space="preserve">ased </w:t>
      </w:r>
      <w:r w:rsidR="00DB2F2A" w:rsidRPr="00EE7A08">
        <w:rPr>
          <w:i/>
        </w:rPr>
        <w:t>T</w:t>
      </w:r>
      <w:r w:rsidR="00B57853" w:rsidRPr="00EE7A08">
        <w:rPr>
          <w:i/>
        </w:rPr>
        <w:t>ransactions</w:t>
      </w:r>
      <w:r w:rsidRPr="00F14F91">
        <w:t xml:space="preserve"> will refer to: </w:t>
      </w:r>
    </w:p>
    <w:p w14:paraId="095C61B9" w14:textId="6C150F92" w:rsidR="00BC6F41" w:rsidRPr="00F14F91" w:rsidRDefault="00BC6F41" w:rsidP="00132F46">
      <w:pPr>
        <w:pStyle w:val="ListParagraph"/>
        <w:numPr>
          <w:ilvl w:val="0"/>
          <w:numId w:val="45"/>
        </w:numPr>
      </w:pPr>
      <w:r w:rsidRPr="00F14F91">
        <w:t xml:space="preserve">The </w:t>
      </w:r>
      <w:r w:rsidRPr="008C5F5B">
        <w:rPr>
          <w:i/>
        </w:rPr>
        <w:t>National Measurement Act 1960</w:t>
      </w:r>
      <w:r w:rsidRPr="00F14F91">
        <w:t xml:space="preserve"> (the Act), </w:t>
      </w:r>
      <w:r w:rsidR="00AC2D51" w:rsidRPr="00F14F91">
        <w:t>Part V (General provisions on using measurement in trade), Part VI (Articles packed in advance ready for sale),</w:t>
      </w:r>
      <w:r w:rsidR="00286554">
        <w:t xml:space="preserve"> and</w:t>
      </w:r>
      <w:r w:rsidR="00AC2D51" w:rsidRPr="00F14F91">
        <w:t xml:space="preserve"> Part VII (Other articles)</w:t>
      </w:r>
    </w:p>
    <w:p w14:paraId="381DB4EC" w14:textId="7F034D32" w:rsidR="00BC6F41" w:rsidRPr="00F14F91" w:rsidRDefault="00BC6F41" w:rsidP="00132F46">
      <w:pPr>
        <w:pStyle w:val="ListParagraph"/>
        <w:numPr>
          <w:ilvl w:val="0"/>
          <w:numId w:val="45"/>
        </w:numPr>
      </w:pPr>
      <w:r w:rsidRPr="00F14F91">
        <w:t xml:space="preserve">The </w:t>
      </w:r>
      <w:r w:rsidRPr="00132F46">
        <w:rPr>
          <w:i/>
        </w:rPr>
        <w:t xml:space="preserve">National </w:t>
      </w:r>
      <w:r w:rsidR="00AC2D51" w:rsidRPr="00132F46">
        <w:rPr>
          <w:i/>
        </w:rPr>
        <w:t xml:space="preserve">Trade </w:t>
      </w:r>
      <w:r w:rsidRPr="00132F46">
        <w:rPr>
          <w:i/>
        </w:rPr>
        <w:t>Measurement R</w:t>
      </w:r>
      <w:r w:rsidR="00AC2D51" w:rsidRPr="00132F46">
        <w:rPr>
          <w:i/>
        </w:rPr>
        <w:t>egulations 2009</w:t>
      </w:r>
      <w:r w:rsidRPr="00F14F91">
        <w:t xml:space="preserve"> (N</w:t>
      </w:r>
      <w:r w:rsidR="00AC2D51" w:rsidRPr="00F14F91">
        <w:t>T</w:t>
      </w:r>
      <w:r w:rsidRPr="00F14F91">
        <w:t>MR)</w:t>
      </w:r>
      <w:r w:rsidR="00C47D36">
        <w:t>.</w:t>
      </w:r>
    </w:p>
    <w:p w14:paraId="19464270" w14:textId="170D75C8" w:rsidR="00BC6F41" w:rsidRPr="00F14F91" w:rsidRDefault="00BC6F41" w:rsidP="00BC6F41">
      <w:r w:rsidRPr="00F14F91">
        <w:t xml:space="preserve">This paper covers: </w:t>
      </w:r>
      <w:r w:rsidR="005A18D5" w:rsidRPr="00F14F91">
        <w:t>incorrect measurement (shortfall)</w:t>
      </w:r>
      <w:r w:rsidR="001F08D6">
        <w:t>;</w:t>
      </w:r>
      <w:r w:rsidR="005A18D5" w:rsidRPr="00F14F91">
        <w:t xml:space="preserve"> the sale of non-packaged goods</w:t>
      </w:r>
      <w:r w:rsidR="001F08D6">
        <w:t>;</w:t>
      </w:r>
      <w:r w:rsidR="005A18D5" w:rsidRPr="00F14F91">
        <w:t xml:space="preserve"> and the sale of packaged goods.</w:t>
      </w:r>
    </w:p>
    <w:p w14:paraId="376F7112" w14:textId="473CC392" w:rsidR="00BC6F41" w:rsidRPr="00F14F91" w:rsidRDefault="00BC6F41" w:rsidP="00BC6F41">
      <w:r w:rsidRPr="00F14F91">
        <w:t xml:space="preserve">For additional information on all discussion papers, please refer to the </w:t>
      </w:r>
      <w:hyperlink r:id="rId17" w:history="1">
        <w:r w:rsidRPr="00EC0CA9">
          <w:rPr>
            <w:rStyle w:val="Hyperlink"/>
            <w:i/>
          </w:rPr>
          <w:t>Guide to the Discussion Papers</w:t>
        </w:r>
      </w:hyperlink>
      <w:r w:rsidR="00EC0CA9">
        <w:t>.</w:t>
      </w:r>
    </w:p>
    <w:p w14:paraId="520BD054" w14:textId="77777777" w:rsidR="005A18D5" w:rsidRPr="00F14F91" w:rsidRDefault="005A18D5">
      <w:pPr>
        <w:rPr>
          <w:rFonts w:ascii="Arial" w:eastAsia="MS PGothic" w:hAnsi="Arial" w:cs="Times New Roman"/>
          <w:b/>
          <w:bCs/>
          <w:color w:val="004059"/>
          <w:sz w:val="20"/>
          <w:szCs w:val="20"/>
        </w:rPr>
      </w:pPr>
      <w:r w:rsidRPr="00F14F91">
        <w:rPr>
          <w:rFonts w:ascii="Arial" w:eastAsia="MS PGothic" w:hAnsi="Arial" w:cs="Times New Roman"/>
          <w:b/>
          <w:bCs/>
          <w:color w:val="004059"/>
          <w:sz w:val="20"/>
          <w:szCs w:val="20"/>
        </w:rPr>
        <w:br w:type="page"/>
      </w:r>
    </w:p>
    <w:p w14:paraId="69F48CAC" w14:textId="3D082691" w:rsidR="00A177B0" w:rsidRPr="007116E9" w:rsidRDefault="00533E76" w:rsidP="007116E9">
      <w:pPr>
        <w:pStyle w:val="Heading1"/>
        <w:numPr>
          <w:ilvl w:val="0"/>
          <w:numId w:val="61"/>
        </w:numPr>
      </w:pPr>
      <w:bookmarkStart w:id="10" w:name="_Toc536700732"/>
      <w:bookmarkStart w:id="11" w:name="_Toc3461884"/>
      <w:r w:rsidRPr="007116E9">
        <w:lastRenderedPageBreak/>
        <w:t>Measurement-</w:t>
      </w:r>
      <w:r w:rsidR="00E60E40" w:rsidRPr="007116E9">
        <w:t>B</w:t>
      </w:r>
      <w:r w:rsidRPr="007116E9">
        <w:t xml:space="preserve">ased </w:t>
      </w:r>
      <w:r w:rsidR="00E60E40" w:rsidRPr="007116E9">
        <w:t>T</w:t>
      </w:r>
      <w:r w:rsidRPr="007116E9">
        <w:t>ransactions</w:t>
      </w:r>
      <w:bookmarkEnd w:id="10"/>
      <w:bookmarkEnd w:id="11"/>
    </w:p>
    <w:p w14:paraId="742888B4" w14:textId="7896F9BB" w:rsidR="007F30A3" w:rsidRPr="00677B5E" w:rsidRDefault="007F30A3" w:rsidP="007F30A3">
      <w:r w:rsidRPr="008D3ADF">
        <w:t xml:space="preserve">In Australia, </w:t>
      </w:r>
      <w:r w:rsidR="00A22437">
        <w:t xml:space="preserve">the value of </w:t>
      </w:r>
      <w:r w:rsidR="00B04A50">
        <w:t xml:space="preserve">measurement-based </w:t>
      </w:r>
      <w:r w:rsidRPr="008D3ADF">
        <w:t xml:space="preserve">trade </w:t>
      </w:r>
      <w:r w:rsidR="00B04A50">
        <w:t xml:space="preserve">is </w:t>
      </w:r>
      <w:r w:rsidR="00F55143">
        <w:t xml:space="preserve">currently </w:t>
      </w:r>
      <w:r w:rsidR="00B04A50">
        <w:t xml:space="preserve">estimated to be </w:t>
      </w:r>
      <w:r w:rsidR="00A22437">
        <w:t>more than</w:t>
      </w:r>
      <w:r w:rsidR="00B04A50">
        <w:t xml:space="preserve"> $</w:t>
      </w:r>
      <w:r w:rsidR="00A32338">
        <w:t>75</w:t>
      </w:r>
      <w:r w:rsidR="00B04A50">
        <w:t xml:space="preserve">0 billion </w:t>
      </w:r>
      <w:r w:rsidR="00F55143">
        <w:t>a year</w:t>
      </w:r>
      <w:r w:rsidR="00A66EB3">
        <w:rPr>
          <w:rStyle w:val="FootnoteReference"/>
          <w:sz w:val="20"/>
          <w:szCs w:val="20"/>
        </w:rPr>
        <w:footnoteReference w:id="2"/>
      </w:r>
      <w:r w:rsidR="00A22437">
        <w:t>.</w:t>
      </w:r>
      <w:r w:rsidRPr="00677B5E">
        <w:t xml:space="preserve"> Transactions involving measurements range from simple consumer purchases at the </w:t>
      </w:r>
      <w:r w:rsidR="004F5622">
        <w:t>local store</w:t>
      </w:r>
      <w:r w:rsidR="004F5622" w:rsidRPr="00677B5E">
        <w:t xml:space="preserve"> </w:t>
      </w:r>
      <w:r w:rsidRPr="00677B5E">
        <w:t>to complex multimillion dollar international trade deals.</w:t>
      </w:r>
    </w:p>
    <w:p w14:paraId="024A93EB" w14:textId="151FF9F4" w:rsidR="00DF13CB" w:rsidRDefault="00DF13CB" w:rsidP="00132F46">
      <w:pPr>
        <w:rPr>
          <w:sz w:val="20"/>
          <w:szCs w:val="20"/>
        </w:rPr>
      </w:pPr>
      <w:r>
        <w:t>Because of the volume and value of measurement</w:t>
      </w:r>
      <w:r w:rsidR="00730AC7">
        <w:t>-</w:t>
      </w:r>
      <w:r>
        <w:t>based transactions, effective measurement is key to the efficient operation of our economy.</w:t>
      </w:r>
    </w:p>
    <w:p w14:paraId="0C57CB36" w14:textId="482055FA" w:rsidR="007F30A3" w:rsidRPr="0020329C" w:rsidRDefault="00DF13CB" w:rsidP="00132F46">
      <w:pPr>
        <w:rPr>
          <w:sz w:val="20"/>
          <w:szCs w:val="20"/>
        </w:rPr>
      </w:pPr>
      <w:r>
        <w:t>W</w:t>
      </w:r>
      <w:r w:rsidRPr="00C90B98">
        <w:t xml:space="preserve">here </w:t>
      </w:r>
      <w:r>
        <w:t>goods and services are provided</w:t>
      </w:r>
      <w:r w:rsidRPr="00C90B98">
        <w:t xml:space="preserve"> on the basis of measurements</w:t>
      </w:r>
      <w:r>
        <w:t>,</w:t>
      </w:r>
      <w:r w:rsidRPr="00C90B98">
        <w:t xml:space="preserve"> </w:t>
      </w:r>
      <w:r w:rsidR="007F5B3E">
        <w:t xml:space="preserve">it is beneficial for </w:t>
      </w:r>
      <w:r>
        <w:t xml:space="preserve">buyers </w:t>
      </w:r>
      <w:r w:rsidR="00B924B3">
        <w:t>and sellers</w:t>
      </w:r>
      <w:r w:rsidR="00CB6335">
        <w:t xml:space="preserve"> </w:t>
      </w:r>
      <w:r w:rsidRPr="008D3ADF">
        <w:t xml:space="preserve">to have confidence </w:t>
      </w:r>
      <w:r w:rsidR="00482B64">
        <w:t>in</w:t>
      </w:r>
      <w:r w:rsidR="00482B64" w:rsidRPr="008D3ADF">
        <w:t xml:space="preserve"> </w:t>
      </w:r>
      <w:r>
        <w:t>those measurements. Regardless of the size of a transaction, having</w:t>
      </w:r>
      <w:r w:rsidR="00A072A7">
        <w:t xml:space="preserve"> an easily-accessible</w:t>
      </w:r>
      <w:r w:rsidR="00A32338">
        <w:t xml:space="preserve"> and </w:t>
      </w:r>
      <w:r w:rsidR="00A072A7">
        <w:t xml:space="preserve">consistent means of establishing </w:t>
      </w:r>
      <w:r w:rsidR="008068A6">
        <w:t xml:space="preserve">the validity of a measurement </w:t>
      </w:r>
      <w:r w:rsidR="00A072A7">
        <w:t>reduces the time and effort otherwise need</w:t>
      </w:r>
      <w:r>
        <w:t>ed</w:t>
      </w:r>
      <w:r w:rsidR="00A072A7">
        <w:t xml:space="preserve"> to </w:t>
      </w:r>
      <w:r w:rsidR="002A3812" w:rsidRPr="00C90B98">
        <w:t>ensur</w:t>
      </w:r>
      <w:r>
        <w:t xml:space="preserve">e </w:t>
      </w:r>
      <w:r w:rsidR="002A3812" w:rsidRPr="00C90B98">
        <w:t xml:space="preserve">the measurements </w:t>
      </w:r>
      <w:r w:rsidR="00021682">
        <w:t xml:space="preserve">on which </w:t>
      </w:r>
      <w:r>
        <w:t xml:space="preserve">the </w:t>
      </w:r>
      <w:r w:rsidR="00021682">
        <w:t xml:space="preserve">transaction is </w:t>
      </w:r>
      <w:r w:rsidR="00730AC7">
        <w:t xml:space="preserve">based </w:t>
      </w:r>
      <w:r w:rsidR="002A3812" w:rsidRPr="00C90B98">
        <w:t>are correct.</w:t>
      </w:r>
      <w:r>
        <w:t xml:space="preserve"> </w:t>
      </w:r>
      <w:r w:rsidR="00A35BFC" w:rsidRPr="00A35BFC">
        <w:t>Reliable representations of measurements help consumers and businesses make informed purchasing decisions, reduce transaction costs and support the efficient operation of the market.</w:t>
      </w:r>
      <w:r w:rsidR="00A35BFC" w:rsidRPr="00A35BFC" w:rsidDel="00A35BFC">
        <w:t xml:space="preserve"> </w:t>
      </w:r>
      <w:r w:rsidR="00660C09" w:rsidRPr="00A35BFC">
        <w:t xml:space="preserve">The current </w:t>
      </w:r>
      <w:r w:rsidR="00F75CFE" w:rsidRPr="0020329C">
        <w:t>system</w:t>
      </w:r>
      <w:r w:rsidR="00660C09" w:rsidRPr="0020329C">
        <w:t xml:space="preserve"> that regulates these transactions is referred to as </w:t>
      </w:r>
      <w:r w:rsidR="007C2EF7">
        <w:t>‘</w:t>
      </w:r>
      <w:r w:rsidR="00660C09" w:rsidRPr="0020329C">
        <w:t>trade measurement’.</w:t>
      </w:r>
    </w:p>
    <w:p w14:paraId="248EDE55" w14:textId="648F6C40" w:rsidR="00B40E54" w:rsidRDefault="00856CA1" w:rsidP="00A35BFC">
      <w:r w:rsidRPr="005B27D5">
        <w:t>The trade measu</w:t>
      </w:r>
      <w:r w:rsidR="000247AE" w:rsidRPr="005B27D5">
        <w:t xml:space="preserve">rement system exists to </w:t>
      </w:r>
      <w:r w:rsidR="008744F5">
        <w:rPr>
          <w:szCs w:val="20"/>
        </w:rPr>
        <w:t xml:space="preserve">enable </w:t>
      </w:r>
      <w:r w:rsidRPr="00E0601A">
        <w:t xml:space="preserve">confidence </w:t>
      </w:r>
      <w:r w:rsidR="00A35BFC">
        <w:t xml:space="preserve">for </w:t>
      </w:r>
      <w:r w:rsidRPr="00E0601A">
        <w:t>buyers and sellers that</w:t>
      </w:r>
      <w:r w:rsidR="000247AE" w:rsidRPr="0046150D">
        <w:t xml:space="preserve"> </w:t>
      </w:r>
      <w:r w:rsidRPr="0046150D">
        <w:t>measurements are</w:t>
      </w:r>
      <w:r w:rsidR="005764B4" w:rsidRPr="0046150D">
        <w:t xml:space="preserve"> accurate</w:t>
      </w:r>
      <w:r w:rsidR="00B40E54">
        <w:t>.</w:t>
      </w:r>
      <w:r w:rsidR="00117525">
        <w:t xml:space="preserve"> It operates alongside</w:t>
      </w:r>
      <w:r w:rsidR="00117525" w:rsidDel="002A5165">
        <w:rPr>
          <w:sz w:val="20"/>
        </w:rPr>
        <w:t xml:space="preserve"> </w:t>
      </w:r>
      <w:r w:rsidR="00117525">
        <w:t>consumer protection legislation such as the Australian Consumer Law (ACL)</w:t>
      </w:r>
      <w:r w:rsidR="00A66EB3" w:rsidRPr="00A66EB3">
        <w:rPr>
          <w:rStyle w:val="FootnoteReference"/>
          <w:sz w:val="20"/>
        </w:rPr>
        <w:t xml:space="preserve"> </w:t>
      </w:r>
      <w:r w:rsidR="00A66EB3">
        <w:rPr>
          <w:rStyle w:val="FootnoteReference"/>
          <w:sz w:val="20"/>
        </w:rPr>
        <w:footnoteReference w:id="3"/>
      </w:r>
      <w:r w:rsidR="00117525">
        <w:t>.</w:t>
      </w:r>
    </w:p>
    <w:p w14:paraId="18F2D62C" w14:textId="77777777" w:rsidR="00A520B7" w:rsidRPr="007116E9" w:rsidDel="005C7CAD" w:rsidRDefault="00A520B7" w:rsidP="007116E9">
      <w:pPr>
        <w:pStyle w:val="Heading2"/>
        <w:numPr>
          <w:ilvl w:val="1"/>
          <w:numId w:val="61"/>
        </w:numPr>
        <w:ind w:left="720" w:hanging="720"/>
      </w:pPr>
      <w:bookmarkStart w:id="12" w:name="_Toc3461885"/>
      <w:r w:rsidRPr="007116E9" w:rsidDel="005C7CAD">
        <w:t>Current Approach</w:t>
      </w:r>
      <w:bookmarkEnd w:id="12"/>
    </w:p>
    <w:p w14:paraId="03EE0B51" w14:textId="3F23E639" w:rsidR="002D2850" w:rsidRPr="00C90B98" w:rsidRDefault="002D2850" w:rsidP="00493DEB">
      <w:r w:rsidRPr="00C90B98">
        <w:t xml:space="preserve">The </w:t>
      </w:r>
      <w:r w:rsidRPr="0020329C">
        <w:rPr>
          <w:i/>
        </w:rPr>
        <w:t>National Measurement Act 1960</w:t>
      </w:r>
      <w:r w:rsidRPr="00C90B98">
        <w:t xml:space="preserve"> (the Act) and the </w:t>
      </w:r>
      <w:r w:rsidR="00EE6A8B">
        <w:rPr>
          <w:i/>
        </w:rPr>
        <w:t xml:space="preserve">National </w:t>
      </w:r>
      <w:r w:rsidRPr="0020329C">
        <w:rPr>
          <w:i/>
        </w:rPr>
        <w:t>Trade Measurement Regulations 2009</w:t>
      </w:r>
      <w:r w:rsidRPr="00C90B98">
        <w:t xml:space="preserve"> (NTMR) establish</w:t>
      </w:r>
      <w:r w:rsidR="00063950">
        <w:rPr>
          <w:rStyle w:val="FootnoteReference"/>
          <w:sz w:val="20"/>
          <w:szCs w:val="20"/>
        </w:rPr>
        <w:footnoteReference w:id="4"/>
      </w:r>
      <w:r w:rsidRPr="00C90B98">
        <w:t xml:space="preserve"> the legal framework for</w:t>
      </w:r>
      <w:r>
        <w:t xml:space="preserve"> the</w:t>
      </w:r>
      <w:r w:rsidRPr="00C90B98">
        <w:t xml:space="preserve"> regulation </w:t>
      </w:r>
      <w:r>
        <w:t xml:space="preserve">of measurement-based </w:t>
      </w:r>
      <w:r w:rsidRPr="00C90B98">
        <w:t>t</w:t>
      </w:r>
      <w:r>
        <w:t>ransactions, including</w:t>
      </w:r>
      <w:r w:rsidR="008068A6">
        <w:t xml:space="preserve"> requirements for</w:t>
      </w:r>
      <w:r>
        <w:t>:</w:t>
      </w:r>
    </w:p>
    <w:p w14:paraId="2B3B148E" w14:textId="621193CD" w:rsidR="00613A28" w:rsidRDefault="00D24C24" w:rsidP="00493DEB">
      <w:pPr>
        <w:pStyle w:val="ListParagraph"/>
        <w:numPr>
          <w:ilvl w:val="0"/>
          <w:numId w:val="59"/>
        </w:numPr>
        <w:rPr>
          <w:sz w:val="20"/>
          <w:szCs w:val="20"/>
        </w:rPr>
      </w:pPr>
      <w:r>
        <w:t>t</w:t>
      </w:r>
      <w:r w:rsidR="00613A28" w:rsidRPr="00A42524">
        <w:t xml:space="preserve">he sale of </w:t>
      </w:r>
      <w:r w:rsidR="00613A28">
        <w:t>goods</w:t>
      </w:r>
      <w:r w:rsidR="00613A28" w:rsidRPr="00A42524">
        <w:t xml:space="preserve"> </w:t>
      </w:r>
      <w:r w:rsidR="00613A28">
        <w:t>when sold with</w:t>
      </w:r>
      <w:r w:rsidR="00613A28" w:rsidRPr="00A42524">
        <w:t xml:space="preserve"> </w:t>
      </w:r>
      <w:r w:rsidR="00613A28">
        <w:t>reference to measurement</w:t>
      </w:r>
    </w:p>
    <w:p w14:paraId="0E2CF2B3" w14:textId="576019FB" w:rsidR="00E13A5E" w:rsidRPr="00C90B98" w:rsidRDefault="00D24C24" w:rsidP="00493DEB">
      <w:pPr>
        <w:pStyle w:val="ListParagraph"/>
        <w:numPr>
          <w:ilvl w:val="0"/>
          <w:numId w:val="59"/>
        </w:numPr>
        <w:rPr>
          <w:sz w:val="20"/>
          <w:szCs w:val="20"/>
        </w:rPr>
      </w:pPr>
      <w:r>
        <w:rPr>
          <w:szCs w:val="20"/>
        </w:rPr>
        <w:t>c</w:t>
      </w:r>
      <w:r w:rsidR="00E13A5E" w:rsidRPr="00493DEB">
        <w:rPr>
          <w:szCs w:val="20"/>
        </w:rPr>
        <w:t xml:space="preserve">ertain </w:t>
      </w:r>
      <w:r w:rsidR="00166C1A" w:rsidRPr="007335A1">
        <w:rPr>
          <w:szCs w:val="20"/>
        </w:rPr>
        <w:t xml:space="preserve">goods </w:t>
      </w:r>
      <w:r w:rsidR="008068A6" w:rsidRPr="007335A1">
        <w:rPr>
          <w:szCs w:val="20"/>
        </w:rPr>
        <w:t>to</w:t>
      </w:r>
      <w:r w:rsidR="00E13A5E" w:rsidRPr="007335A1">
        <w:rPr>
          <w:szCs w:val="20"/>
        </w:rPr>
        <w:t xml:space="preserve"> be sold by reference to measurement in prescribed units of measurement</w:t>
      </w:r>
      <w:r w:rsidR="007C2EF7">
        <w:rPr>
          <w:szCs w:val="20"/>
        </w:rPr>
        <w:t>,</w:t>
      </w:r>
      <w:r w:rsidR="007116E9">
        <w:rPr>
          <w:szCs w:val="20"/>
        </w:rPr>
        <w:t xml:space="preserve"> and</w:t>
      </w:r>
    </w:p>
    <w:p w14:paraId="6D676377" w14:textId="772E25FF" w:rsidR="00E13A5E" w:rsidRPr="00C90B98" w:rsidRDefault="00D24C24" w:rsidP="00493DEB">
      <w:pPr>
        <w:pStyle w:val="ListParagraph"/>
        <w:numPr>
          <w:ilvl w:val="0"/>
          <w:numId w:val="59"/>
        </w:numPr>
        <w:rPr>
          <w:sz w:val="20"/>
        </w:rPr>
      </w:pPr>
      <w:r>
        <w:t>p</w:t>
      </w:r>
      <w:r w:rsidR="001E0DDB">
        <w:t>ackaged</w:t>
      </w:r>
      <w:r w:rsidR="00E13A5E" w:rsidRPr="00C90B98">
        <w:t xml:space="preserve"> goods and their measurement</w:t>
      </w:r>
      <w:r w:rsidR="00613A28">
        <w:t>.</w:t>
      </w:r>
    </w:p>
    <w:p w14:paraId="237F3152" w14:textId="063EBA13" w:rsidR="00355FAF" w:rsidRDefault="00355FAF">
      <w:pPr>
        <w:rPr>
          <w:sz w:val="20"/>
          <w:szCs w:val="20"/>
        </w:rPr>
      </w:pPr>
      <w:r>
        <w:t xml:space="preserve">The </w:t>
      </w:r>
      <w:r w:rsidR="00852C07">
        <w:t>def</w:t>
      </w:r>
      <w:r w:rsidR="00AE5BA8">
        <w:t xml:space="preserve">inition of </w:t>
      </w:r>
      <w:r w:rsidR="00AE5BA8" w:rsidRPr="007116E9">
        <w:rPr>
          <w:b/>
        </w:rPr>
        <w:t>measurement</w:t>
      </w:r>
      <w:r w:rsidR="00AE5BA8">
        <w:t xml:space="preserve"> in the Ac</w:t>
      </w:r>
      <w:r w:rsidR="00852C07">
        <w:t>t</w:t>
      </w:r>
      <w:r w:rsidR="00852C07">
        <w:rPr>
          <w:rStyle w:val="FootnoteReference"/>
          <w:sz w:val="20"/>
          <w:szCs w:val="20"/>
        </w:rPr>
        <w:footnoteReference w:id="5"/>
      </w:r>
      <w:r w:rsidR="00AE5BA8">
        <w:t xml:space="preserve"> excludes measurements used for descriptive purposes</w:t>
      </w:r>
      <w:r w:rsidR="00816586">
        <w:t xml:space="preserve">, </w:t>
      </w:r>
      <w:r w:rsidR="007B62C3">
        <w:t>which</w:t>
      </w:r>
      <w:r w:rsidR="00816586">
        <w:t xml:space="preserve"> means</w:t>
      </w:r>
      <w:r w:rsidR="00AD5CE0">
        <w:t xml:space="preserve"> </w:t>
      </w:r>
      <w:r w:rsidR="00193116">
        <w:t xml:space="preserve">that </w:t>
      </w:r>
      <w:r w:rsidR="00AD5CE0">
        <w:t>not all references to measurement are included within the application of the current measurement law.</w:t>
      </w:r>
      <w:r w:rsidR="00063950">
        <w:t xml:space="preserve"> For example, the screen size </w:t>
      </w:r>
      <w:r w:rsidR="0012407B">
        <w:t xml:space="preserve">specified when selling </w:t>
      </w:r>
      <w:r w:rsidR="00063950">
        <w:t xml:space="preserve">televisions </w:t>
      </w:r>
      <w:r w:rsidR="0012407B">
        <w:t>(</w:t>
      </w:r>
      <w:r w:rsidR="00CB6335">
        <w:t xml:space="preserve">such as </w:t>
      </w:r>
      <w:r w:rsidR="0012407B">
        <w:t xml:space="preserve">a </w:t>
      </w:r>
      <w:r w:rsidR="0012407B" w:rsidDel="0015556D">
        <w:t>32</w:t>
      </w:r>
      <w:r w:rsidR="007C2EF7">
        <w:t>-</w:t>
      </w:r>
      <w:r w:rsidR="0012407B">
        <w:t>in</w:t>
      </w:r>
      <w:r w:rsidR="00B75403">
        <w:t>ch</w:t>
      </w:r>
      <w:r w:rsidR="0012407B">
        <w:t xml:space="preserve"> display) is descriptive in nature and not regulated by Australia’s measurement laws</w:t>
      </w:r>
      <w:r w:rsidR="00C22885">
        <w:t xml:space="preserve">, but is regulated by the </w:t>
      </w:r>
      <w:r w:rsidR="00117525">
        <w:t xml:space="preserve">ACL provisions </w:t>
      </w:r>
      <w:r w:rsidR="00742AAC">
        <w:t xml:space="preserve">such as those </w:t>
      </w:r>
      <w:r w:rsidR="00117525">
        <w:t>relating to misleading and deceptive conduct</w:t>
      </w:r>
      <w:r w:rsidR="00A66EB3">
        <w:rPr>
          <w:rStyle w:val="FootnoteReference"/>
          <w:sz w:val="20"/>
          <w:szCs w:val="20"/>
        </w:rPr>
        <w:footnoteReference w:id="6"/>
      </w:r>
      <w:r w:rsidR="00117525">
        <w:t>.</w:t>
      </w:r>
    </w:p>
    <w:p w14:paraId="518BB2D6" w14:textId="1FDE6D30" w:rsidR="00E13A5E" w:rsidRPr="002F10B4" w:rsidDel="00410C18" w:rsidRDefault="00E13A5E" w:rsidP="007335A1">
      <w:r w:rsidRPr="003E4801">
        <w:t xml:space="preserve">The </w:t>
      </w:r>
      <w:r w:rsidR="00741021" w:rsidRPr="003E4801">
        <w:t>measurement</w:t>
      </w:r>
      <w:r w:rsidR="00741021" w:rsidRPr="00C90B98">
        <w:t xml:space="preserve"> </w:t>
      </w:r>
      <w:r w:rsidRPr="00C90B98">
        <w:t xml:space="preserve">framework focuses </w:t>
      </w:r>
      <w:r w:rsidR="00B878ED" w:rsidRPr="00C90B98">
        <w:t>primarily</w:t>
      </w:r>
      <w:r w:rsidRPr="00C90B98">
        <w:t xml:space="preserve"> on the sale of goods</w:t>
      </w:r>
      <w:r w:rsidR="00532B22">
        <w:t xml:space="preserve"> (</w:t>
      </w:r>
      <w:r w:rsidR="009B7245">
        <w:t>referred</w:t>
      </w:r>
      <w:r w:rsidR="00532B22">
        <w:t xml:space="preserve"> to in the </w:t>
      </w:r>
      <w:r w:rsidR="00DD3EF5">
        <w:t xml:space="preserve">measurement law </w:t>
      </w:r>
      <w:r w:rsidR="00532B22">
        <w:t>as articles)</w:t>
      </w:r>
      <w:r w:rsidRPr="00C90B98">
        <w:t xml:space="preserve">. Transactions where </w:t>
      </w:r>
      <w:r w:rsidR="00FF3FB8">
        <w:t>the purchaser is in control of determining the measurement of goods</w:t>
      </w:r>
      <w:r w:rsidR="00ED225C">
        <w:t>,</w:t>
      </w:r>
      <w:r w:rsidR="00FF3FB8">
        <w:t xml:space="preserve"> </w:t>
      </w:r>
      <w:r w:rsidRPr="00C90B98">
        <w:t xml:space="preserve">or </w:t>
      </w:r>
      <w:r w:rsidR="0092191A">
        <w:t xml:space="preserve">where </w:t>
      </w:r>
      <w:r w:rsidRPr="00C90B98">
        <w:t>measurement</w:t>
      </w:r>
      <w:r w:rsidR="00ED225C">
        <w:t xml:space="preserve"> is used</w:t>
      </w:r>
      <w:r w:rsidRPr="00C90B98">
        <w:t xml:space="preserve"> to determine the cost of a service</w:t>
      </w:r>
      <w:r w:rsidR="000A641B">
        <w:t>,</w:t>
      </w:r>
      <w:r w:rsidRPr="00C90B98">
        <w:t xml:space="preserve"> are not directly regulated by the current framework</w:t>
      </w:r>
      <w:r w:rsidR="0014406F" w:rsidRPr="003E4801">
        <w:rPr>
          <w:rStyle w:val="FootnoteReference"/>
        </w:rPr>
        <w:footnoteReference w:id="7"/>
      </w:r>
      <w:r w:rsidRPr="00C90B98" w:rsidDel="0015556D">
        <w:t>.</w:t>
      </w:r>
      <w:r w:rsidRPr="00C90B98">
        <w:t xml:space="preserve"> However, </w:t>
      </w:r>
      <w:r w:rsidR="00DD3C44">
        <w:t xml:space="preserve">businesses or individuals </w:t>
      </w:r>
      <w:r w:rsidRPr="00C90B98">
        <w:t xml:space="preserve">undertaking such transactions must ensure any measuring instrument used </w:t>
      </w:r>
      <w:r w:rsidRPr="00C90B98">
        <w:lastRenderedPageBreak/>
        <w:t>satisfies regulatory requirements</w:t>
      </w:r>
      <w:r w:rsidR="003E4801">
        <w:rPr>
          <w:rStyle w:val="FootnoteReference"/>
        </w:rPr>
        <w:footnoteReference w:id="8"/>
      </w:r>
      <w:r w:rsidRPr="003E4801">
        <w:t>.</w:t>
      </w:r>
      <w:r w:rsidR="00410C18">
        <w:t xml:space="preserve"> </w:t>
      </w:r>
      <w:r w:rsidR="00B878ED" w:rsidRPr="00C90B98" w:rsidDel="00410C18">
        <w:t>T</w:t>
      </w:r>
      <w:r w:rsidR="00F01CF7" w:rsidRPr="00C90B98" w:rsidDel="00410C18">
        <w:t>he current</w:t>
      </w:r>
      <w:r w:rsidR="000775C4" w:rsidRPr="00C90B98" w:rsidDel="00410C18">
        <w:t xml:space="preserve"> framework</w:t>
      </w:r>
      <w:r w:rsidR="00F01CF7" w:rsidRPr="00C90B98" w:rsidDel="00410C18">
        <w:t xml:space="preserve"> exempts </w:t>
      </w:r>
      <w:r w:rsidR="000775C4" w:rsidRPr="00C90B98" w:rsidDel="00410C18">
        <w:t xml:space="preserve">certain </w:t>
      </w:r>
      <w:r w:rsidR="00DB118C" w:rsidDel="00410C18">
        <w:t xml:space="preserve">types of </w:t>
      </w:r>
      <w:r w:rsidR="000775C4" w:rsidRPr="00C90B98" w:rsidDel="00410C18">
        <w:t xml:space="preserve">transactions from </w:t>
      </w:r>
      <w:r w:rsidR="007D6753" w:rsidDel="00410C18">
        <w:t xml:space="preserve">the application of </w:t>
      </w:r>
      <w:r w:rsidR="000775C4" w:rsidRPr="00C90B98" w:rsidDel="00410C18">
        <w:t xml:space="preserve">trade measurement regulation, including </w:t>
      </w:r>
      <w:r w:rsidR="00B878ED" w:rsidRPr="00C90B98" w:rsidDel="00410C18">
        <w:t>internet services, phone services, taxi fares, motor-vehicle hire and parking meters.</w:t>
      </w:r>
      <w:r w:rsidR="00063950" w:rsidDel="00410C18">
        <w:rPr>
          <w:rStyle w:val="FootnoteReference"/>
          <w:sz w:val="20"/>
          <w:szCs w:val="20"/>
        </w:rPr>
        <w:footnoteReference w:id="9"/>
      </w:r>
      <w:r w:rsidR="00B878ED" w:rsidRPr="00C90B98" w:rsidDel="00410C18">
        <w:t xml:space="preserve"> For more information on </w:t>
      </w:r>
      <w:r w:rsidR="00B878ED" w:rsidRPr="00C90B98">
        <w:t>th</w:t>
      </w:r>
      <w:r w:rsidR="003E4801">
        <w:t>ese</w:t>
      </w:r>
      <w:r w:rsidR="00B878ED" w:rsidRPr="00C90B98">
        <w:t xml:space="preserve"> exemption</w:t>
      </w:r>
      <w:r w:rsidR="003E4801">
        <w:t>s</w:t>
      </w:r>
      <w:r w:rsidR="00B878ED" w:rsidRPr="00C90B98" w:rsidDel="00410C18">
        <w:t xml:space="preserve">, see the companion </w:t>
      </w:r>
      <w:r w:rsidR="00B878ED" w:rsidRPr="00DB44D7" w:rsidDel="00410C18">
        <w:t>paper</w:t>
      </w:r>
      <w:r w:rsidR="00C64709" w:rsidRPr="00DB44D7" w:rsidDel="00410C18">
        <w:t>s</w:t>
      </w:r>
      <w:r w:rsidR="00B878ED" w:rsidRPr="00DB44D7" w:rsidDel="00410C18">
        <w:t xml:space="preserve"> </w:t>
      </w:r>
      <w:hyperlink r:id="rId18" w:history="1">
        <w:r w:rsidR="003B50A1" w:rsidRPr="003B50A1">
          <w:rPr>
            <w:rStyle w:val="Hyperlink"/>
            <w:i/>
          </w:rPr>
          <w:t>Scope of Australia’s Measuremen</w:t>
        </w:r>
        <w:r w:rsidR="007C2EF7">
          <w:rPr>
            <w:rStyle w:val="Hyperlink"/>
            <w:i/>
          </w:rPr>
          <w:t>t Laws</w:t>
        </w:r>
      </w:hyperlink>
      <w:r w:rsidR="00C64709" w:rsidRPr="003B50A1" w:rsidDel="00410C18">
        <w:rPr>
          <w:rStyle w:val="Hyperlink"/>
          <w:u w:val="none"/>
        </w:rPr>
        <w:t xml:space="preserve"> </w:t>
      </w:r>
      <w:r w:rsidR="007D6753" w:rsidRPr="003B50A1" w:rsidDel="00410C18">
        <w:rPr>
          <w:rStyle w:val="Hyperlink"/>
          <w:color w:val="auto"/>
          <w:u w:val="none"/>
        </w:rPr>
        <w:t xml:space="preserve">and </w:t>
      </w:r>
      <w:hyperlink r:id="rId19" w:history="1">
        <w:r w:rsidR="007D6753" w:rsidRPr="0070590E" w:rsidDel="00410C18">
          <w:rPr>
            <w:rStyle w:val="Hyperlink"/>
            <w:i/>
          </w:rPr>
          <w:t>Measuring Instruments</w:t>
        </w:r>
      </w:hyperlink>
      <w:r w:rsidR="00B878ED" w:rsidRPr="00951435" w:rsidDel="00410C18">
        <w:t>.</w:t>
      </w:r>
    </w:p>
    <w:p w14:paraId="22626543" w14:textId="7171D370" w:rsidR="006A3717" w:rsidRPr="00093820" w:rsidRDefault="000F51B1" w:rsidP="003E4801">
      <w:pPr>
        <w:rPr>
          <w:sz w:val="20"/>
          <w:szCs w:val="20"/>
        </w:rPr>
      </w:pPr>
      <w:r>
        <w:t xml:space="preserve">The legislative framework sets out the practices that should be adhered to in order to assure correct measurement, </w:t>
      </w:r>
      <w:r w:rsidR="00525816">
        <w:t>which is a significant factor in</w:t>
      </w:r>
      <w:r>
        <w:t xml:space="preserve"> maintaining c</w:t>
      </w:r>
      <w:r w:rsidR="00C4270B" w:rsidRPr="007335A1">
        <w:t>onfidence</w:t>
      </w:r>
      <w:r w:rsidR="00650BCE" w:rsidRPr="007335A1">
        <w:t xml:space="preserve"> in </w:t>
      </w:r>
      <w:r>
        <w:t xml:space="preserve">the </w:t>
      </w:r>
      <w:r w:rsidR="00650BCE" w:rsidRPr="007335A1">
        <w:t>measurement</w:t>
      </w:r>
      <w:r>
        <w:t xml:space="preserve"> system.</w:t>
      </w:r>
      <w:r w:rsidR="00111AEC">
        <w:t xml:space="preserve"> Adherence to the legislation is su</w:t>
      </w:r>
      <w:r w:rsidR="00DC0B38">
        <w:t>pported by a series of offences</w:t>
      </w:r>
      <w:r w:rsidR="00093F43" w:rsidRPr="00E75B73">
        <w:t xml:space="preserve"> </w:t>
      </w:r>
      <w:r w:rsidR="00650BCE" w:rsidRPr="001D1C39">
        <w:t xml:space="preserve">that </w:t>
      </w:r>
      <w:r w:rsidR="00F51E3D" w:rsidRPr="001D1C39">
        <w:t>see</w:t>
      </w:r>
      <w:r w:rsidR="005739D1" w:rsidRPr="003E4801">
        <w:t>k</w:t>
      </w:r>
      <w:r w:rsidR="00F51E3D" w:rsidRPr="003E4801">
        <w:t xml:space="preserve"> to address </w:t>
      </w:r>
      <w:r w:rsidR="00650BCE" w:rsidRPr="003E4801">
        <w:t xml:space="preserve">unacceptable measurement practices </w:t>
      </w:r>
      <w:r w:rsidR="00111AEC">
        <w:t>through penalties which may include formal court action.</w:t>
      </w:r>
    </w:p>
    <w:p w14:paraId="2641DD5C" w14:textId="17E6A574" w:rsidR="002278B3" w:rsidRPr="002278B3" w:rsidRDefault="002278B3" w:rsidP="003E4801">
      <w:pPr>
        <w:pStyle w:val="Heading5"/>
        <w:rPr>
          <w:rFonts w:ascii="Arial" w:eastAsia="MS PGothic" w:hAnsi="Arial" w:cs="Times New Roman"/>
          <w:b/>
          <w:bCs/>
          <w:i/>
          <w:iCs/>
          <w:color w:val="005677"/>
        </w:rPr>
      </w:pPr>
      <w:r w:rsidRPr="002278B3">
        <w:rPr>
          <w:rFonts w:eastAsia="MS PGothic"/>
        </w:rPr>
        <w:t>Questions</w:t>
      </w:r>
      <w:r w:rsidR="00084348">
        <w:rPr>
          <w:rFonts w:eastAsia="MS PGothic"/>
        </w:rPr>
        <w:t>:</w:t>
      </w:r>
    </w:p>
    <w:p w14:paraId="47D5D3D6" w14:textId="57CF9379" w:rsidR="002278B3" w:rsidRPr="008D7E58" w:rsidRDefault="002278B3" w:rsidP="008D7E58">
      <w:pPr>
        <w:pStyle w:val="ListParagraph"/>
        <w:numPr>
          <w:ilvl w:val="2"/>
          <w:numId w:val="61"/>
        </w:numPr>
        <w:rPr>
          <w:rFonts w:cstheme="minorHAnsi"/>
        </w:rPr>
      </w:pPr>
      <w:r w:rsidRPr="008D7E58">
        <w:t>What</w:t>
      </w:r>
      <w:r w:rsidRPr="008D7E58">
        <w:rPr>
          <w:rFonts w:cstheme="minorHAnsi"/>
        </w:rPr>
        <w:t xml:space="preserve"> </w:t>
      </w:r>
      <w:r w:rsidR="007C48D6" w:rsidRPr="008D7E58">
        <w:rPr>
          <w:rFonts w:cstheme="minorHAnsi"/>
        </w:rPr>
        <w:t>are the biggest issues you</w:t>
      </w:r>
      <w:r w:rsidR="000A73FF" w:rsidRPr="008D7E58">
        <w:rPr>
          <w:rFonts w:cstheme="minorHAnsi"/>
        </w:rPr>
        <w:t xml:space="preserve"> </w:t>
      </w:r>
      <w:r w:rsidRPr="008D7E58">
        <w:rPr>
          <w:rFonts w:cstheme="minorHAnsi"/>
        </w:rPr>
        <w:t xml:space="preserve">experience when it comes to measurement </w:t>
      </w:r>
      <w:r w:rsidR="00AE51ED" w:rsidRPr="008D7E58">
        <w:rPr>
          <w:rFonts w:cstheme="minorHAnsi"/>
        </w:rPr>
        <w:t xml:space="preserve">used for </w:t>
      </w:r>
      <w:r w:rsidRPr="008D7E58">
        <w:rPr>
          <w:rFonts w:cstheme="minorHAnsi"/>
        </w:rPr>
        <w:t>trade?</w:t>
      </w:r>
    </w:p>
    <w:p w14:paraId="5A19875C" w14:textId="5471581E" w:rsidR="008C5F5B" w:rsidRDefault="008C5F5B" w:rsidP="003E4801">
      <w:pPr>
        <w:pStyle w:val="ListParagraph"/>
      </w:pPr>
    </w:p>
    <w:p w14:paraId="71ECE448" w14:textId="47DE0492" w:rsidR="008C5F5B" w:rsidRPr="0020329C" w:rsidRDefault="004040EE" w:rsidP="003635DE">
      <w:pPr>
        <w:pStyle w:val="ListParagraph"/>
        <w:ind w:firstLine="720"/>
      </w:pPr>
      <w:r w:rsidRPr="0020329C">
        <w:t>In responding to this question you may wish to:</w:t>
      </w:r>
    </w:p>
    <w:p w14:paraId="4AB4FCB0" w14:textId="36C96F97" w:rsidR="004040EE" w:rsidRDefault="008C660A" w:rsidP="003635DE">
      <w:pPr>
        <w:pStyle w:val="ListParagraph"/>
        <w:numPr>
          <w:ilvl w:val="0"/>
          <w:numId w:val="48"/>
        </w:numPr>
      </w:pPr>
      <w:r>
        <w:t>h</w:t>
      </w:r>
      <w:r w:rsidR="004040EE">
        <w:t xml:space="preserve">ighlight any examples where the current </w:t>
      </w:r>
      <w:r w:rsidR="00B03AFE">
        <w:t>law creates</w:t>
      </w:r>
      <w:r w:rsidR="004040EE">
        <w:t xml:space="preserve"> unnecessary burdens</w:t>
      </w:r>
      <w:r w:rsidR="00B03AFE">
        <w:t xml:space="preserve"> for business</w:t>
      </w:r>
      <w:r w:rsidR="004040EE">
        <w:t xml:space="preserve"> and</w:t>
      </w:r>
      <w:r w:rsidR="00070574">
        <w:t xml:space="preserve"> the costs associated with them</w:t>
      </w:r>
      <w:r w:rsidR="005237DF">
        <w:t>,</w:t>
      </w:r>
      <w:r w:rsidR="00286554">
        <w:t xml:space="preserve"> and</w:t>
      </w:r>
    </w:p>
    <w:p w14:paraId="7CD1A6D3" w14:textId="4E52BF04" w:rsidR="00F644F4" w:rsidRDefault="00B03AFE" w:rsidP="003635DE">
      <w:pPr>
        <w:pStyle w:val="ListParagraph"/>
        <w:numPr>
          <w:ilvl w:val="0"/>
          <w:numId w:val="48"/>
        </w:numPr>
      </w:pPr>
      <w:r>
        <w:t>consider any aspects of the current laws that may impact consumer confidence</w:t>
      </w:r>
      <w:r w:rsidR="00F644F4">
        <w:t>.</w:t>
      </w:r>
    </w:p>
    <w:p w14:paraId="1C1AE1BD" w14:textId="77777777" w:rsidR="008C5F5B" w:rsidRDefault="008C5F5B" w:rsidP="00230C13">
      <w:pPr>
        <w:pStyle w:val="ListParagraph"/>
        <w:ind w:left="2160"/>
      </w:pPr>
    </w:p>
    <w:p w14:paraId="1712FA54" w14:textId="6166AB98" w:rsidR="008C5F5B" w:rsidRDefault="00A507D4" w:rsidP="008D7E58">
      <w:pPr>
        <w:pStyle w:val="ListParagraph"/>
        <w:numPr>
          <w:ilvl w:val="2"/>
          <w:numId w:val="61"/>
        </w:numPr>
      </w:pPr>
      <w:r>
        <w:t xml:space="preserve">How could the current approach be improved to better </w:t>
      </w:r>
      <w:r w:rsidR="002766DC">
        <w:t>support measurement-based transactions?</w:t>
      </w:r>
    </w:p>
    <w:p w14:paraId="4395244B" w14:textId="3B449256" w:rsidR="003635DE" w:rsidRDefault="003635DE" w:rsidP="003635DE">
      <w:pPr>
        <w:pStyle w:val="ListParagraph"/>
        <w:ind w:firstLine="720"/>
      </w:pPr>
    </w:p>
    <w:p w14:paraId="42BBA145" w14:textId="6CE9E605" w:rsidR="008C5F5B" w:rsidRPr="0020329C" w:rsidRDefault="008C660A" w:rsidP="003635DE">
      <w:pPr>
        <w:pStyle w:val="ListParagraph"/>
        <w:ind w:firstLine="720"/>
      </w:pPr>
      <w:r w:rsidRPr="0020329C">
        <w:t>In responding to this question you may wish to:</w:t>
      </w:r>
    </w:p>
    <w:p w14:paraId="4188F7BC" w14:textId="68CAD017" w:rsidR="008C660A" w:rsidRDefault="008C660A" w:rsidP="003635DE">
      <w:pPr>
        <w:pStyle w:val="ListParagraph"/>
        <w:numPr>
          <w:ilvl w:val="0"/>
          <w:numId w:val="48"/>
        </w:numPr>
      </w:pPr>
      <w:r w:rsidRPr="0020329C">
        <w:t>comment on whether there are any gaps in the curren</w:t>
      </w:r>
      <w:r>
        <w:t xml:space="preserve">t approach and what issues these </w:t>
      </w:r>
      <w:r w:rsidR="009B7245">
        <w:t>cause</w:t>
      </w:r>
      <w:r w:rsidR="005237DF">
        <w:t>,</w:t>
      </w:r>
      <w:r w:rsidR="00286554">
        <w:t xml:space="preserve"> and</w:t>
      </w:r>
    </w:p>
    <w:p w14:paraId="692832F6" w14:textId="1E165691" w:rsidR="00230C13" w:rsidRPr="0020329C" w:rsidRDefault="00EF37B0" w:rsidP="00A22437">
      <w:pPr>
        <w:pStyle w:val="ListParagraph"/>
        <w:numPr>
          <w:ilvl w:val="0"/>
          <w:numId w:val="48"/>
        </w:numPr>
      </w:pPr>
      <w:r>
        <w:t xml:space="preserve">highlight </w:t>
      </w:r>
      <w:r w:rsidR="008C660A">
        <w:t>any changes in industry practices that should now be considered.</w:t>
      </w:r>
    </w:p>
    <w:p w14:paraId="3166D41E" w14:textId="77777777" w:rsidR="00143D5E" w:rsidRDefault="00143D5E">
      <w:pPr>
        <w:rPr>
          <w:rFonts w:asciiTheme="majorHAnsi" w:eastAsiaTheme="majorEastAsia" w:hAnsiTheme="majorHAnsi" w:cstheme="majorBidi"/>
          <w:color w:val="2E74B5" w:themeColor="accent1" w:themeShade="BF"/>
          <w:sz w:val="32"/>
          <w:szCs w:val="32"/>
        </w:rPr>
      </w:pPr>
      <w:bookmarkStart w:id="13" w:name="_Toc536700733"/>
      <w:bookmarkStart w:id="14" w:name="_Toc3461886"/>
      <w:r>
        <w:br w:type="page"/>
      </w:r>
    </w:p>
    <w:p w14:paraId="33EDBBE7" w14:textId="296C0E21" w:rsidR="00883867" w:rsidRPr="008D7E58" w:rsidRDefault="00883867" w:rsidP="008D7E58">
      <w:pPr>
        <w:pStyle w:val="Heading1"/>
        <w:numPr>
          <w:ilvl w:val="0"/>
          <w:numId w:val="61"/>
        </w:numPr>
      </w:pPr>
      <w:r w:rsidRPr="008D7E58">
        <w:lastRenderedPageBreak/>
        <w:t>In</w:t>
      </w:r>
      <w:r w:rsidR="005A18D5" w:rsidRPr="008D7E58">
        <w:t>correct</w:t>
      </w:r>
      <w:r w:rsidRPr="008D7E58">
        <w:t xml:space="preserve"> Measurement (Shortfall)</w:t>
      </w:r>
      <w:bookmarkEnd w:id="13"/>
      <w:bookmarkEnd w:id="14"/>
    </w:p>
    <w:p w14:paraId="424E65EF" w14:textId="77777777" w:rsidR="00883867" w:rsidRPr="008D7E58" w:rsidDel="005C7CAD" w:rsidRDefault="00883867" w:rsidP="008D7E58">
      <w:pPr>
        <w:pStyle w:val="Heading2"/>
        <w:numPr>
          <w:ilvl w:val="1"/>
          <w:numId w:val="61"/>
        </w:numPr>
        <w:ind w:left="720" w:hanging="720"/>
      </w:pPr>
      <w:bookmarkStart w:id="15" w:name="_Toc3461887"/>
      <w:r w:rsidRPr="008D7E58" w:rsidDel="005C7CAD">
        <w:t>Current Approach</w:t>
      </w:r>
      <w:bookmarkEnd w:id="15"/>
    </w:p>
    <w:p w14:paraId="54A95392" w14:textId="017B98C3" w:rsidR="00883867" w:rsidRPr="008B4B14" w:rsidRDefault="006E45D4" w:rsidP="00883867">
      <w:r>
        <w:t>There are a number of</w:t>
      </w:r>
      <w:r w:rsidR="00883867" w:rsidRPr="00986F48">
        <w:t xml:space="preserve"> offences included in the current legislation relating to </w:t>
      </w:r>
      <w:r w:rsidR="00DA44CC">
        <w:t xml:space="preserve">the </w:t>
      </w:r>
      <w:r w:rsidR="00883867" w:rsidRPr="00986F48">
        <w:t>sale of goods where the quantity provided is less than</w:t>
      </w:r>
      <w:r w:rsidR="00DA44CC">
        <w:t xml:space="preserve"> what</w:t>
      </w:r>
      <w:r w:rsidR="00883867" w:rsidRPr="00986F48">
        <w:t xml:space="preserve"> is represented</w:t>
      </w:r>
      <w:r>
        <w:t xml:space="preserve">, </w:t>
      </w:r>
      <w:r w:rsidR="009B7245">
        <w:t>referred</w:t>
      </w:r>
      <w:r w:rsidR="006D3DFF">
        <w:t xml:space="preserve"> to as ‘shortfall</w:t>
      </w:r>
      <w:r>
        <w:t>’</w:t>
      </w:r>
      <w:r w:rsidR="006D3DFF">
        <w:t xml:space="preserve"> offences</w:t>
      </w:r>
      <w:r w:rsidR="00883867" w:rsidRPr="00986F48">
        <w:t>.</w:t>
      </w:r>
      <w:r w:rsidR="00E4643F">
        <w:t xml:space="preserve"> The offence provisions cover </w:t>
      </w:r>
      <w:r w:rsidR="0015556D">
        <w:t xml:space="preserve">instances </w:t>
      </w:r>
      <w:r w:rsidR="00E4643F">
        <w:t xml:space="preserve">where </w:t>
      </w:r>
      <w:r w:rsidR="0015556D">
        <w:t>g</w:t>
      </w:r>
      <w:r w:rsidR="00566112">
        <w:t>ood</w:t>
      </w:r>
      <w:r w:rsidR="0015556D">
        <w:t>s</w:t>
      </w:r>
      <w:r w:rsidR="00566112">
        <w:t xml:space="preserve"> </w:t>
      </w:r>
      <w:r w:rsidR="0015556D">
        <w:t>are</w:t>
      </w:r>
      <w:r w:rsidR="00E4643F">
        <w:t xml:space="preserve"> </w:t>
      </w:r>
      <w:r w:rsidR="00F16B2E">
        <w:t>packaged</w:t>
      </w:r>
      <w:r w:rsidR="00A66EB3" w:rsidRPr="00986F48">
        <w:rPr>
          <w:rStyle w:val="FootnoteReference"/>
          <w:sz w:val="20"/>
          <w:szCs w:val="20"/>
        </w:rPr>
        <w:footnoteReference w:id="10"/>
      </w:r>
      <w:r w:rsidR="00E4643F">
        <w:t xml:space="preserve">, </w:t>
      </w:r>
      <w:r w:rsidR="00387687">
        <w:t xml:space="preserve">as well as </w:t>
      </w:r>
      <w:r w:rsidR="00E4643F">
        <w:t xml:space="preserve">where </w:t>
      </w:r>
      <w:r w:rsidR="00566112">
        <w:t>good</w:t>
      </w:r>
      <w:r w:rsidR="0015556D">
        <w:t>s</w:t>
      </w:r>
      <w:r w:rsidR="00566112">
        <w:t xml:space="preserve"> </w:t>
      </w:r>
      <w:r w:rsidR="0015556D">
        <w:t xml:space="preserve">are </w:t>
      </w:r>
      <w:r w:rsidR="00F16B2E">
        <w:t>unpackaged</w:t>
      </w:r>
      <w:r w:rsidR="00E4643F">
        <w:t xml:space="preserve"> </w:t>
      </w:r>
      <w:r w:rsidR="00387687">
        <w:t>and</w:t>
      </w:r>
      <w:r w:rsidR="00E4643F" w:rsidDel="00387687">
        <w:t xml:space="preserve"> </w:t>
      </w:r>
      <w:r w:rsidR="00E4643F">
        <w:t>there has been a representation as to the measurement of th</w:t>
      </w:r>
      <w:r w:rsidR="00387687">
        <w:t>ose</w:t>
      </w:r>
      <w:r w:rsidR="00E4643F">
        <w:t xml:space="preserve"> </w:t>
      </w:r>
      <w:r w:rsidR="00566112">
        <w:t>good</w:t>
      </w:r>
      <w:r w:rsidR="00387687">
        <w:t>s</w:t>
      </w:r>
      <w:r w:rsidR="00A66EB3" w:rsidRPr="00986F48">
        <w:rPr>
          <w:rStyle w:val="FootnoteReference"/>
          <w:sz w:val="20"/>
          <w:szCs w:val="20"/>
        </w:rPr>
        <w:footnoteReference w:id="11"/>
      </w:r>
      <w:r w:rsidR="00E4643F">
        <w:t>.</w:t>
      </w:r>
      <w:r w:rsidR="00A66EB3">
        <w:t xml:space="preserve"> </w:t>
      </w:r>
    </w:p>
    <w:p w14:paraId="1003E822" w14:textId="013C5B2A" w:rsidR="00BE79A7" w:rsidRDefault="00E2353C" w:rsidP="00BE79A7">
      <w:r w:rsidRPr="006D630C">
        <w:t>Current</w:t>
      </w:r>
      <w:r w:rsidRPr="00CE2E2F">
        <w:t xml:space="preserve"> Australian law provides for a series of offences relating to the sale of goods (articles)</w:t>
      </w:r>
      <w:r w:rsidR="00387687">
        <w:t>,</w:t>
      </w:r>
      <w:r w:rsidRPr="00CE2E2F">
        <w:t xml:space="preserve"> that is, when the person selling the goods is r</w:t>
      </w:r>
      <w:r w:rsidRPr="00E2353C">
        <w:t>esponsible for the measurement</w:t>
      </w:r>
      <w:r w:rsidR="00BE79A7" w:rsidRPr="00E2353C">
        <w:t xml:space="preserve">. </w:t>
      </w:r>
      <w:r w:rsidR="0032467B">
        <w:t xml:space="preserve">As such, </w:t>
      </w:r>
      <w:r w:rsidR="00BE79A7">
        <w:t>these offences do not apply to protect a seller where the buyer is in control of the measurement. An example of this is outlined in Case Study A below.</w:t>
      </w:r>
    </w:p>
    <w:p w14:paraId="0C81D1D6" w14:textId="0381FDED" w:rsidR="00BE79A7" w:rsidRPr="003B50A1" w:rsidRDefault="00BE79A7" w:rsidP="0032467B">
      <w:pPr>
        <w:keepNext/>
        <w:keepLines/>
        <w:pBdr>
          <w:top w:val="single" w:sz="4" w:space="4" w:color="ED7D31" w:themeColor="accent2"/>
          <w:left w:val="single" w:sz="4" w:space="4" w:color="ED7D31" w:themeColor="accent2"/>
          <w:bottom w:val="single" w:sz="4" w:space="4" w:color="ED7D31" w:themeColor="accent2"/>
          <w:right w:val="single" w:sz="4" w:space="4" w:color="ED7D31" w:themeColor="accent2"/>
        </w:pBdr>
        <w:shd w:val="clear" w:color="auto" w:fill="FDF1E9" w:themeFill="accent2" w:themeFillTint="1A"/>
        <w:ind w:left="113" w:right="113"/>
        <w:rPr>
          <w:rFonts w:eastAsia="Times New Roman" w:cs="Times New Roman"/>
          <w:b/>
        </w:rPr>
      </w:pPr>
      <w:r w:rsidRPr="003B50A1">
        <w:rPr>
          <w:rFonts w:eastAsia="Times New Roman" w:cs="Times New Roman"/>
          <w:b/>
        </w:rPr>
        <w:t xml:space="preserve">Case </w:t>
      </w:r>
      <w:r w:rsidR="00C11F71">
        <w:rPr>
          <w:rFonts w:eastAsia="Times New Roman" w:cs="Times New Roman"/>
          <w:b/>
        </w:rPr>
        <w:t>S</w:t>
      </w:r>
      <w:r w:rsidRPr="003B50A1">
        <w:rPr>
          <w:rFonts w:eastAsia="Times New Roman" w:cs="Times New Roman"/>
          <w:b/>
        </w:rPr>
        <w:t>tudy A:</w:t>
      </w:r>
      <w:r w:rsidR="00AB07D0" w:rsidRPr="003B50A1">
        <w:rPr>
          <w:rFonts w:eastAsia="Times New Roman" w:cs="Times New Roman"/>
          <w:b/>
        </w:rPr>
        <w:t xml:space="preserve"> Gold buying (purchase)</w:t>
      </w:r>
    </w:p>
    <w:p w14:paraId="6B5BA747" w14:textId="1FACB9D2" w:rsidR="00BE79A7" w:rsidRPr="003B50A1" w:rsidRDefault="00BE79A7" w:rsidP="0032467B">
      <w:pPr>
        <w:keepLines/>
        <w:pBdr>
          <w:top w:val="single" w:sz="4" w:space="4" w:color="ED7D31" w:themeColor="accent2"/>
          <w:left w:val="single" w:sz="4" w:space="4" w:color="ED7D31" w:themeColor="accent2"/>
          <w:bottom w:val="single" w:sz="4" w:space="4" w:color="ED7D31" w:themeColor="accent2"/>
          <w:right w:val="single" w:sz="4" w:space="4" w:color="ED7D31" w:themeColor="accent2"/>
        </w:pBdr>
        <w:shd w:val="clear" w:color="auto" w:fill="FDF1E9" w:themeFill="accent2" w:themeFillTint="1A"/>
        <w:ind w:left="113" w:right="113"/>
        <w:rPr>
          <w:rFonts w:eastAsia="Times New Roman" w:cs="Times New Roman"/>
        </w:rPr>
      </w:pPr>
      <w:r w:rsidRPr="003B50A1">
        <w:rPr>
          <w:rFonts w:eastAsia="Times New Roman" w:cs="Times New Roman"/>
        </w:rPr>
        <w:t>Alison is looking to buy some gold and Bob</w:t>
      </w:r>
      <w:r w:rsidR="00E003AF">
        <w:rPr>
          <w:rFonts w:eastAsia="Times New Roman" w:cs="Times New Roman"/>
        </w:rPr>
        <w:t xml:space="preserve"> is looking to sell some gold. </w:t>
      </w:r>
      <w:r w:rsidRPr="003B50A1">
        <w:rPr>
          <w:rFonts w:eastAsia="Times New Roman" w:cs="Times New Roman"/>
        </w:rPr>
        <w:t xml:space="preserve">They both decide to trade with a merchant based on a price per kilogram with the weight measured by the merchant. </w:t>
      </w:r>
      <w:r w:rsidR="00566112" w:rsidRPr="003B50A1">
        <w:rPr>
          <w:rFonts w:eastAsia="Times New Roman" w:cs="Times New Roman"/>
        </w:rPr>
        <w:t>Under the current legislation, the merchant is committing an offence</w:t>
      </w:r>
      <w:r w:rsidRPr="003B50A1">
        <w:rPr>
          <w:rFonts w:eastAsia="Times New Roman" w:cs="Times New Roman"/>
        </w:rPr>
        <w:t xml:space="preserve"> if the actual weight of the gold sold by the merchant to Alison is less than she is charged for (that is, </w:t>
      </w:r>
      <w:r w:rsidR="00566112" w:rsidRPr="003B50A1">
        <w:rPr>
          <w:rFonts w:eastAsia="Times New Roman" w:cs="Times New Roman"/>
        </w:rPr>
        <w:t>she is overcharged)</w:t>
      </w:r>
      <w:r w:rsidRPr="003B50A1">
        <w:rPr>
          <w:rFonts w:eastAsia="Times New Roman" w:cs="Times New Roman"/>
        </w:rPr>
        <w:t>. However, Bob sells his unwanted gold jewellery to the same merchant at a price per kilogram and the actual weight of the gold is greater than what the merchant pays Bob for (</w:t>
      </w:r>
      <w:r w:rsidR="00566112" w:rsidRPr="003B50A1">
        <w:rPr>
          <w:rFonts w:eastAsia="Times New Roman" w:cs="Times New Roman"/>
        </w:rPr>
        <w:t>that is, he is underpaid)</w:t>
      </w:r>
      <w:r w:rsidR="002C7062">
        <w:rPr>
          <w:rFonts w:eastAsia="Times New Roman" w:cs="Times New Roman"/>
        </w:rPr>
        <w:t>. In Bob’s case,</w:t>
      </w:r>
      <w:r w:rsidRPr="003B50A1">
        <w:rPr>
          <w:rFonts w:eastAsia="Times New Roman" w:cs="Times New Roman"/>
        </w:rPr>
        <w:t xml:space="preserve"> there is no </w:t>
      </w:r>
      <w:r w:rsidR="00D15AD8" w:rsidRPr="003B50A1">
        <w:rPr>
          <w:rFonts w:eastAsia="Times New Roman" w:cs="Times New Roman"/>
        </w:rPr>
        <w:t xml:space="preserve">shortfall </w:t>
      </w:r>
      <w:r w:rsidRPr="003B50A1">
        <w:rPr>
          <w:rFonts w:eastAsia="Times New Roman" w:cs="Times New Roman"/>
        </w:rPr>
        <w:t xml:space="preserve">offence </w:t>
      </w:r>
      <w:r w:rsidR="00D15AD8" w:rsidRPr="003B50A1">
        <w:rPr>
          <w:rFonts w:eastAsia="Times New Roman" w:cs="Times New Roman"/>
        </w:rPr>
        <w:t xml:space="preserve">under measurement law </w:t>
      </w:r>
      <w:r w:rsidR="002C7062">
        <w:rPr>
          <w:rFonts w:eastAsia="Times New Roman" w:cs="Times New Roman"/>
        </w:rPr>
        <w:t xml:space="preserve">being </w:t>
      </w:r>
      <w:r w:rsidRPr="003B50A1">
        <w:rPr>
          <w:rFonts w:eastAsia="Times New Roman" w:cs="Times New Roman"/>
        </w:rPr>
        <w:t>committed by the merchant. Under current measurement law</w:t>
      </w:r>
      <w:r w:rsidR="00EA74AD" w:rsidRPr="003B50A1">
        <w:rPr>
          <w:rStyle w:val="FootnoteReference"/>
          <w:rFonts w:eastAsia="Times New Roman" w:cs="Times New Roman"/>
        </w:rPr>
        <w:footnoteReference w:id="12"/>
      </w:r>
      <w:r w:rsidRPr="003B50A1">
        <w:rPr>
          <w:rFonts w:eastAsia="Times New Roman" w:cs="Times New Roman"/>
        </w:rPr>
        <w:t xml:space="preserve"> Bob (the seller) is not afforded the same </w:t>
      </w:r>
      <w:r w:rsidR="00EA74AD" w:rsidRPr="003B50A1">
        <w:rPr>
          <w:rFonts w:eastAsia="Times New Roman" w:cs="Times New Roman"/>
        </w:rPr>
        <w:t>protections</w:t>
      </w:r>
      <w:r w:rsidRPr="003B50A1">
        <w:rPr>
          <w:rFonts w:eastAsia="Times New Roman" w:cs="Times New Roman"/>
        </w:rPr>
        <w:t xml:space="preserve"> as Alison (the buyer) enjoys</w:t>
      </w:r>
      <w:r w:rsidR="00566112" w:rsidRPr="003B50A1">
        <w:rPr>
          <w:rFonts w:eastAsia="Times New Roman" w:cs="Times New Roman"/>
        </w:rPr>
        <w:t xml:space="preserve">, even though the net financial </w:t>
      </w:r>
      <w:r w:rsidR="00720AB4">
        <w:rPr>
          <w:rFonts w:eastAsia="Times New Roman" w:cs="Times New Roman"/>
        </w:rPr>
        <w:t>out</w:t>
      </w:r>
      <w:r w:rsidR="00566112" w:rsidRPr="003B50A1">
        <w:rPr>
          <w:rFonts w:eastAsia="Times New Roman" w:cs="Times New Roman"/>
        </w:rPr>
        <w:t>come for both is the same</w:t>
      </w:r>
      <w:r w:rsidR="00720AB4">
        <w:rPr>
          <w:rFonts w:eastAsia="Times New Roman" w:cs="Times New Roman"/>
        </w:rPr>
        <w:t xml:space="preserve"> - the merchant has benefited at their expense</w:t>
      </w:r>
      <w:r w:rsidR="00566112" w:rsidRPr="003B50A1">
        <w:rPr>
          <w:rFonts w:eastAsia="Times New Roman" w:cs="Times New Roman"/>
        </w:rPr>
        <w:t>.</w:t>
      </w:r>
    </w:p>
    <w:p w14:paraId="69A1E253" w14:textId="2B948543" w:rsidR="001D1C39" w:rsidRDefault="001D1C39" w:rsidP="001D1C39">
      <w:r>
        <w:t>There are also other measurement-based transactions</w:t>
      </w:r>
      <w:r w:rsidRPr="00986F48">
        <w:t xml:space="preserve"> </w:t>
      </w:r>
      <w:r>
        <w:t>not currently covered by the shortfall offences</w:t>
      </w:r>
      <w:r w:rsidR="003D24ED">
        <w:t>;</w:t>
      </w:r>
      <w:r>
        <w:t xml:space="preserve"> for example, </w:t>
      </w:r>
      <w:r w:rsidRPr="008D3ADF">
        <w:t>providing a service, such as freight or waste disposal, where the amount charged is based on weight and/or volume</w:t>
      </w:r>
      <w:r w:rsidR="0041277B">
        <w:t>, or charging for a utility</w:t>
      </w:r>
      <w:r w:rsidR="003B50A1">
        <w:t>.</w:t>
      </w:r>
    </w:p>
    <w:p w14:paraId="0739EAD3" w14:textId="224FE60D" w:rsidR="00883867" w:rsidRPr="003B50A1" w:rsidRDefault="00883867" w:rsidP="0032467B">
      <w:pPr>
        <w:keepLines/>
        <w:pBdr>
          <w:top w:val="single" w:sz="4" w:space="4" w:color="ED7D31" w:themeColor="accent2"/>
          <w:left w:val="single" w:sz="4" w:space="4" w:color="ED7D31" w:themeColor="accent2"/>
          <w:bottom w:val="single" w:sz="4" w:space="4" w:color="ED7D31" w:themeColor="accent2"/>
          <w:right w:val="single" w:sz="4" w:space="4" w:color="ED7D31" w:themeColor="accent2"/>
        </w:pBdr>
        <w:shd w:val="clear" w:color="auto" w:fill="FDF1E9" w:themeFill="accent2" w:themeFillTint="1A"/>
        <w:ind w:left="113" w:right="113"/>
        <w:rPr>
          <w:rFonts w:eastAsia="Times New Roman" w:cs="Times New Roman"/>
          <w:b/>
        </w:rPr>
      </w:pPr>
      <w:r w:rsidRPr="003B50A1">
        <w:rPr>
          <w:rFonts w:eastAsia="Times New Roman" w:cs="Times New Roman"/>
          <w:b/>
        </w:rPr>
        <w:t xml:space="preserve">Case </w:t>
      </w:r>
      <w:r w:rsidR="00C11F71">
        <w:rPr>
          <w:rFonts w:eastAsia="Times New Roman" w:cs="Times New Roman"/>
          <w:b/>
        </w:rPr>
        <w:t>S</w:t>
      </w:r>
      <w:r w:rsidRPr="003B50A1">
        <w:rPr>
          <w:rFonts w:eastAsia="Times New Roman" w:cs="Times New Roman"/>
          <w:b/>
        </w:rPr>
        <w:t xml:space="preserve">tudy </w:t>
      </w:r>
      <w:r w:rsidR="00973ABB" w:rsidRPr="003B50A1">
        <w:rPr>
          <w:rFonts w:eastAsia="Times New Roman" w:cs="Times New Roman"/>
          <w:b/>
        </w:rPr>
        <w:t>B</w:t>
      </w:r>
      <w:r w:rsidRPr="003B50A1">
        <w:rPr>
          <w:rFonts w:eastAsia="Times New Roman" w:cs="Times New Roman"/>
          <w:b/>
        </w:rPr>
        <w:t>:</w:t>
      </w:r>
      <w:r w:rsidR="00AB07D0" w:rsidRPr="003B50A1">
        <w:rPr>
          <w:rFonts w:eastAsia="Times New Roman" w:cs="Times New Roman"/>
          <w:b/>
        </w:rPr>
        <w:t xml:space="preserve"> Waste collection (service)</w:t>
      </w:r>
    </w:p>
    <w:p w14:paraId="1310C1F9" w14:textId="7BC923CB" w:rsidR="00883867" w:rsidRPr="005A641F" w:rsidRDefault="00883867" w:rsidP="0032467B">
      <w:pPr>
        <w:keepLines/>
        <w:pBdr>
          <w:top w:val="single" w:sz="4" w:space="4" w:color="ED7D31" w:themeColor="accent2"/>
          <w:left w:val="single" w:sz="4" w:space="4" w:color="ED7D31" w:themeColor="accent2"/>
          <w:bottom w:val="single" w:sz="4" w:space="4" w:color="ED7D31" w:themeColor="accent2"/>
          <w:right w:val="single" w:sz="4" w:space="4" w:color="ED7D31" w:themeColor="accent2"/>
        </w:pBdr>
        <w:shd w:val="clear" w:color="auto" w:fill="FDF1E9" w:themeFill="accent2" w:themeFillTint="1A"/>
        <w:ind w:left="113" w:right="113"/>
        <w:rPr>
          <w:rFonts w:eastAsia="Times New Roman" w:cs="Times New Roman"/>
        </w:rPr>
      </w:pPr>
      <w:r w:rsidRPr="003B50A1">
        <w:rPr>
          <w:rFonts w:eastAsia="Times New Roman" w:cs="Times New Roman"/>
        </w:rPr>
        <w:t xml:space="preserve">A restaurant has its waste collected weekly by a waste collection company and </w:t>
      </w:r>
      <w:r w:rsidR="00FD4988" w:rsidRPr="003B50A1">
        <w:rPr>
          <w:rFonts w:eastAsia="Times New Roman" w:cs="Times New Roman"/>
        </w:rPr>
        <w:t xml:space="preserve">is </w:t>
      </w:r>
      <w:r w:rsidRPr="003B50A1">
        <w:rPr>
          <w:rFonts w:eastAsia="Times New Roman" w:cs="Times New Roman"/>
        </w:rPr>
        <w:t xml:space="preserve">charged based on the weight of the waste collected. The restaurant notices an increase in the amount </w:t>
      </w:r>
      <w:r w:rsidR="00BE0AC8" w:rsidRPr="003B50A1">
        <w:rPr>
          <w:rFonts w:eastAsia="Times New Roman" w:cs="Times New Roman"/>
        </w:rPr>
        <w:t xml:space="preserve">it has </w:t>
      </w:r>
      <w:r w:rsidRPr="003B50A1">
        <w:rPr>
          <w:rFonts w:eastAsia="Times New Roman" w:cs="Times New Roman"/>
        </w:rPr>
        <w:t xml:space="preserve">been charged due to an increase in the weight of the waste. The restaurant does not believe </w:t>
      </w:r>
      <w:r w:rsidR="00BE0AC8" w:rsidRPr="003B50A1">
        <w:rPr>
          <w:rFonts w:eastAsia="Times New Roman" w:cs="Times New Roman"/>
        </w:rPr>
        <w:t xml:space="preserve">it has </w:t>
      </w:r>
      <w:r w:rsidRPr="003B50A1">
        <w:rPr>
          <w:rFonts w:eastAsia="Times New Roman" w:cs="Times New Roman"/>
        </w:rPr>
        <w:t xml:space="preserve">increased </w:t>
      </w:r>
      <w:r w:rsidR="00BE0AC8" w:rsidRPr="003B50A1">
        <w:rPr>
          <w:rFonts w:eastAsia="Times New Roman" w:cs="Times New Roman"/>
        </w:rPr>
        <w:t xml:space="preserve">the </w:t>
      </w:r>
      <w:r w:rsidRPr="003B50A1">
        <w:rPr>
          <w:rFonts w:eastAsia="Times New Roman" w:cs="Times New Roman"/>
        </w:rPr>
        <w:t xml:space="preserve">waste </w:t>
      </w:r>
      <w:r w:rsidR="00BE0AC8" w:rsidRPr="003B50A1">
        <w:rPr>
          <w:rFonts w:eastAsia="Times New Roman" w:cs="Times New Roman"/>
        </w:rPr>
        <w:t xml:space="preserve">it </w:t>
      </w:r>
      <w:r w:rsidRPr="003B50A1">
        <w:rPr>
          <w:rFonts w:eastAsia="Times New Roman" w:cs="Times New Roman"/>
        </w:rPr>
        <w:t>produce</w:t>
      </w:r>
      <w:r w:rsidR="00BE0AC8" w:rsidRPr="003B50A1">
        <w:rPr>
          <w:rFonts w:eastAsia="Times New Roman" w:cs="Times New Roman"/>
        </w:rPr>
        <w:t>s</w:t>
      </w:r>
      <w:r w:rsidRPr="003B50A1">
        <w:rPr>
          <w:rFonts w:eastAsia="Times New Roman" w:cs="Times New Roman"/>
        </w:rPr>
        <w:t xml:space="preserve"> and </w:t>
      </w:r>
      <w:r w:rsidR="00BE0AC8" w:rsidRPr="003B50A1">
        <w:rPr>
          <w:rFonts w:eastAsia="Times New Roman" w:cs="Times New Roman"/>
        </w:rPr>
        <w:t xml:space="preserve">is </w:t>
      </w:r>
      <w:r w:rsidRPr="003B50A1">
        <w:rPr>
          <w:rFonts w:eastAsia="Times New Roman" w:cs="Times New Roman"/>
        </w:rPr>
        <w:t xml:space="preserve">concerned the waste collection company may be charging </w:t>
      </w:r>
      <w:r w:rsidR="00BE0AC8" w:rsidRPr="003B50A1">
        <w:rPr>
          <w:rFonts w:eastAsia="Times New Roman" w:cs="Times New Roman"/>
        </w:rPr>
        <w:t xml:space="preserve">it </w:t>
      </w:r>
      <w:r w:rsidRPr="003B50A1">
        <w:rPr>
          <w:rFonts w:eastAsia="Times New Roman" w:cs="Times New Roman"/>
        </w:rPr>
        <w:t xml:space="preserve">based on an incorrect measurement. Under the current </w:t>
      </w:r>
      <w:r w:rsidR="00183A21" w:rsidRPr="003B50A1">
        <w:rPr>
          <w:rFonts w:eastAsia="Times New Roman" w:cs="Times New Roman"/>
        </w:rPr>
        <w:t xml:space="preserve">measurement </w:t>
      </w:r>
      <w:r w:rsidRPr="003B50A1">
        <w:rPr>
          <w:rFonts w:eastAsia="Times New Roman" w:cs="Times New Roman"/>
        </w:rPr>
        <w:t xml:space="preserve">laws there is no offence for overcharging </w:t>
      </w:r>
      <w:r w:rsidR="0032467B" w:rsidRPr="003B50A1">
        <w:rPr>
          <w:rFonts w:eastAsia="Times New Roman" w:cs="Times New Roman"/>
        </w:rPr>
        <w:t xml:space="preserve">for services </w:t>
      </w:r>
      <w:r w:rsidR="00FD4988" w:rsidRPr="003B50A1">
        <w:rPr>
          <w:rFonts w:eastAsia="Times New Roman" w:cs="Times New Roman"/>
        </w:rPr>
        <w:t xml:space="preserve">based on </w:t>
      </w:r>
      <w:r w:rsidRPr="003B50A1">
        <w:rPr>
          <w:rFonts w:eastAsia="Times New Roman" w:cs="Times New Roman"/>
        </w:rPr>
        <w:t>an incorrect measurement.</w:t>
      </w:r>
      <w:r w:rsidR="00CE2E2F" w:rsidRPr="005A641F">
        <w:rPr>
          <w:rStyle w:val="FootnoteReference"/>
          <w:rFonts w:eastAsia="Times New Roman" w:cs="Times New Roman"/>
        </w:rPr>
        <w:footnoteReference w:id="13"/>
      </w:r>
    </w:p>
    <w:p w14:paraId="12C305F9" w14:textId="77777777" w:rsidR="00C52607" w:rsidRPr="00E16DE8" w:rsidRDefault="00C52607" w:rsidP="00E16DE8">
      <w:pPr>
        <w:pStyle w:val="Heading5"/>
        <w:rPr>
          <w:rFonts w:eastAsia="MS PGothic"/>
        </w:rPr>
      </w:pPr>
      <w:r w:rsidRPr="00E16DE8">
        <w:rPr>
          <w:rFonts w:eastAsia="MS PGothic"/>
        </w:rPr>
        <w:lastRenderedPageBreak/>
        <w:t>Overseas comparison:</w:t>
      </w:r>
    </w:p>
    <w:p w14:paraId="765F1521" w14:textId="7C2A1863" w:rsidR="00C52607" w:rsidRPr="003E54AE" w:rsidRDefault="00C52607" w:rsidP="00AB07D0">
      <w:pPr>
        <w:pStyle w:val="NoSpacing"/>
        <w:spacing w:after="160"/>
      </w:pPr>
      <w:r w:rsidRPr="003E54AE">
        <w:t>International responses t</w:t>
      </w:r>
      <w:r w:rsidR="00663BFF">
        <w:t xml:space="preserve">o </w:t>
      </w:r>
      <w:r w:rsidRPr="003E54AE">
        <w:t>issue</w:t>
      </w:r>
      <w:r>
        <w:t>s</w:t>
      </w:r>
      <w:r w:rsidRPr="003E54AE">
        <w:t xml:space="preserve"> </w:t>
      </w:r>
      <w:r w:rsidR="00663BFF">
        <w:t xml:space="preserve">of inaccurate measurement </w:t>
      </w:r>
      <w:r w:rsidRPr="003E54AE">
        <w:t xml:space="preserve">vary. Some countries, such as </w:t>
      </w:r>
      <w:r w:rsidRPr="003E54AE">
        <w:rPr>
          <w:b/>
        </w:rPr>
        <w:t>Canada</w:t>
      </w:r>
      <w:r w:rsidRPr="003E54AE">
        <w:t>, have ‘sale’, ‘purchase’ and ‘service’ offences for commodities and services involving the determination of a measurement</w:t>
      </w:r>
      <w:r w:rsidR="009F7C67">
        <w:rPr>
          <w:rStyle w:val="FootnoteReference"/>
          <w:sz w:val="20"/>
          <w:szCs w:val="20"/>
        </w:rPr>
        <w:footnoteReference w:id="14"/>
      </w:r>
      <w:r w:rsidR="004C1F05">
        <w:t>, which provides protection to buyers and sellers of goods and services</w:t>
      </w:r>
      <w:r w:rsidRPr="003E54AE">
        <w:t>. Other countries</w:t>
      </w:r>
      <w:r w:rsidR="00B90186">
        <w:t xml:space="preserve"> (e.g. </w:t>
      </w:r>
      <w:r w:rsidR="005A0761" w:rsidRPr="005A0761">
        <w:rPr>
          <w:b/>
        </w:rPr>
        <w:t>Singapore</w:t>
      </w:r>
      <w:r w:rsidR="004A75E4">
        <w:rPr>
          <w:rStyle w:val="FootnoteReference"/>
          <w:b/>
          <w:sz w:val="20"/>
          <w:szCs w:val="20"/>
        </w:rPr>
        <w:footnoteReference w:id="15"/>
      </w:r>
      <w:r w:rsidR="005A0761">
        <w:t xml:space="preserve">, </w:t>
      </w:r>
      <w:r w:rsidR="00B90186" w:rsidRPr="005A0761">
        <w:rPr>
          <w:b/>
        </w:rPr>
        <w:t>New</w:t>
      </w:r>
      <w:r w:rsidR="00B90186">
        <w:rPr>
          <w:b/>
        </w:rPr>
        <w:t xml:space="preserve"> Zealand</w:t>
      </w:r>
      <w:r w:rsidR="00A46045">
        <w:rPr>
          <w:rStyle w:val="FootnoteReference"/>
          <w:b/>
          <w:sz w:val="20"/>
          <w:szCs w:val="20"/>
        </w:rPr>
        <w:footnoteReference w:id="16"/>
      </w:r>
      <w:r w:rsidR="00B90186">
        <w:t xml:space="preserve"> </w:t>
      </w:r>
      <w:r w:rsidR="00613B7E">
        <w:t xml:space="preserve">and </w:t>
      </w:r>
      <w:r w:rsidR="00B90186">
        <w:t xml:space="preserve">the </w:t>
      </w:r>
      <w:r w:rsidR="00B90186">
        <w:rPr>
          <w:b/>
        </w:rPr>
        <w:t>United Kingdom</w:t>
      </w:r>
      <w:r w:rsidR="00A163C1">
        <w:rPr>
          <w:rStyle w:val="FootnoteReference"/>
          <w:b/>
          <w:sz w:val="20"/>
          <w:szCs w:val="20"/>
        </w:rPr>
        <w:footnoteReference w:id="17"/>
      </w:r>
      <w:r w:rsidR="005A0761">
        <w:t>)</w:t>
      </w:r>
      <w:r w:rsidRPr="003E54AE">
        <w:t xml:space="preserve"> have adopted </w:t>
      </w:r>
      <w:r w:rsidR="004C1F05">
        <w:t xml:space="preserve">flexible </w:t>
      </w:r>
      <w:r w:rsidR="008D4414">
        <w:t>approaches such as having</w:t>
      </w:r>
      <w:r w:rsidRPr="003E54AE">
        <w:t xml:space="preserve"> </w:t>
      </w:r>
      <w:r w:rsidR="004A75E4">
        <w:t>a small number of</w:t>
      </w:r>
      <w:r w:rsidR="00B90186">
        <w:t xml:space="preserve"> </w:t>
      </w:r>
      <w:r w:rsidRPr="003E54AE">
        <w:t>‘sale’</w:t>
      </w:r>
      <w:r w:rsidR="00B90186">
        <w:t>,</w:t>
      </w:r>
      <w:r w:rsidRPr="003E54AE">
        <w:t xml:space="preserve"> ‘supply’</w:t>
      </w:r>
      <w:r w:rsidR="00B90186">
        <w:t xml:space="preserve"> or ‘possession’</w:t>
      </w:r>
      <w:r w:rsidRPr="003E54AE">
        <w:t xml:space="preserve"> offence</w:t>
      </w:r>
      <w:r w:rsidR="00B90186">
        <w:t>s</w:t>
      </w:r>
      <w:r w:rsidR="00172082">
        <w:t xml:space="preserve"> </w:t>
      </w:r>
      <w:r w:rsidRPr="003E54AE">
        <w:t>which cover a range of scenarios or use terminology such as</w:t>
      </w:r>
      <w:r w:rsidR="004A75E4">
        <w:t xml:space="preserve"> ‘misrepresentation’ or</w:t>
      </w:r>
      <w:r w:rsidRPr="003E54AE">
        <w:t xml:space="preserve"> ‘incorrect </w:t>
      </w:r>
      <w:r w:rsidR="00172082">
        <w:t>statement’</w:t>
      </w:r>
      <w:r w:rsidRPr="003E54AE">
        <w:t>.</w:t>
      </w:r>
    </w:p>
    <w:p w14:paraId="04EE2AFA" w14:textId="77777777" w:rsidR="00883867" w:rsidRPr="008D7E58" w:rsidRDefault="00883867" w:rsidP="008D7E58">
      <w:pPr>
        <w:pStyle w:val="Heading2"/>
        <w:numPr>
          <w:ilvl w:val="1"/>
          <w:numId w:val="61"/>
        </w:numPr>
        <w:ind w:left="720" w:hanging="720"/>
      </w:pPr>
      <w:bookmarkStart w:id="16" w:name="_Toc3461888"/>
      <w:r w:rsidRPr="008D7E58">
        <w:t>Issues</w:t>
      </w:r>
      <w:bookmarkEnd w:id="16"/>
    </w:p>
    <w:p w14:paraId="3FF3712B" w14:textId="7CE3AB51" w:rsidR="00883867" w:rsidRPr="00986F48" w:rsidRDefault="00FC4D3B" w:rsidP="00883867">
      <w:r>
        <w:t xml:space="preserve">There </w:t>
      </w:r>
      <w:r w:rsidR="00D3163B">
        <w:t xml:space="preserve">are </w:t>
      </w:r>
      <w:r>
        <w:t xml:space="preserve">a number of issues relating to the current measurement laws associated with shortfall. </w:t>
      </w:r>
      <w:r w:rsidR="00D24CE4">
        <w:t>T</w:t>
      </w:r>
      <w:r w:rsidR="00883867">
        <w:t xml:space="preserve">he main issue identified is </w:t>
      </w:r>
      <w:r w:rsidR="00785599">
        <w:t xml:space="preserve">the lack of </w:t>
      </w:r>
      <w:r w:rsidR="00883867" w:rsidRPr="00986F48">
        <w:t xml:space="preserve">offences </w:t>
      </w:r>
      <w:r w:rsidR="00785599">
        <w:t>relating to</w:t>
      </w:r>
      <w:r w:rsidR="00883867" w:rsidRPr="00986F48">
        <w:t xml:space="preserve"> incorrect measurement in the delivery of services or the purchase of goods</w:t>
      </w:r>
      <w:r w:rsidR="00883867">
        <w:t xml:space="preserve"> where the purchaser is in control of determining the measurement</w:t>
      </w:r>
      <w:r w:rsidR="00883867" w:rsidRPr="00986F48">
        <w:t xml:space="preserve"> </w:t>
      </w:r>
      <w:r w:rsidR="00317BFB">
        <w:t xml:space="preserve">(e.g. </w:t>
      </w:r>
      <w:r w:rsidR="00883867" w:rsidRPr="00986F48">
        <w:t>waste removal or buying scrap metal</w:t>
      </w:r>
      <w:r w:rsidR="00317BFB">
        <w:t>).</w:t>
      </w:r>
      <w:r w:rsidR="00CD5205">
        <w:t xml:space="preserve"> </w:t>
      </w:r>
      <w:r w:rsidR="005659B3">
        <w:t xml:space="preserve">Gaps in the shortfall offences </w:t>
      </w:r>
      <w:r w:rsidR="00CD5205">
        <w:t>could potentially undermine confidence in these measurements and lead to increased transaction costs.</w:t>
      </w:r>
    </w:p>
    <w:p w14:paraId="77E15F59" w14:textId="0C5A3497" w:rsidR="00FC4D3B" w:rsidRDefault="00883867" w:rsidP="0020329C">
      <w:r w:rsidRPr="008B4B14">
        <w:t>Another issue</w:t>
      </w:r>
      <w:r>
        <w:t xml:space="preserve"> that arises is that </w:t>
      </w:r>
      <w:r w:rsidR="008F159B">
        <w:t xml:space="preserve">the offences </w:t>
      </w:r>
      <w:r w:rsidR="009B7245">
        <w:t>relating</w:t>
      </w:r>
      <w:r w:rsidR="008F159B">
        <w:t xml:space="preserve"> to goods as they currently stand create a zero tolerance for shortfall. </w:t>
      </w:r>
      <w:r w:rsidR="007823DE">
        <w:t>The</w:t>
      </w:r>
      <w:r w:rsidR="00D24CE4">
        <w:t>re is no allowance made</w:t>
      </w:r>
      <w:r w:rsidR="008F159B">
        <w:t xml:space="preserve"> for</w:t>
      </w:r>
      <w:r w:rsidR="007823DE">
        <w:t>,</w:t>
      </w:r>
      <w:r w:rsidR="008F159B">
        <w:t xml:space="preserve"> or consideration</w:t>
      </w:r>
      <w:r w:rsidR="00D24CE4">
        <w:t xml:space="preserve"> given</w:t>
      </w:r>
      <w:r w:rsidR="008F159B">
        <w:t xml:space="preserve"> to</w:t>
      </w:r>
      <w:r w:rsidR="00BE0AC8">
        <w:t>,</w:t>
      </w:r>
      <w:r w:rsidR="008F159B">
        <w:t xml:space="preserve"> factors such as the </w:t>
      </w:r>
      <w:r w:rsidR="00D24CE4">
        <w:t>level of accuracy of</w:t>
      </w:r>
      <w:r w:rsidR="007823DE">
        <w:t xml:space="preserve"> </w:t>
      </w:r>
      <w:r w:rsidR="00D24CE4">
        <w:t>the</w:t>
      </w:r>
      <w:r w:rsidR="007823DE">
        <w:t xml:space="preserve"> measuring</w:t>
      </w:r>
      <w:r w:rsidR="008F159B">
        <w:t xml:space="preserve"> instrument used or the fact that the seller may have followed appropriate processes. </w:t>
      </w:r>
      <w:r w:rsidR="00072FFE">
        <w:t>This could be considered inappropriate if a seller</w:t>
      </w:r>
      <w:r w:rsidRPr="008B4B14">
        <w:t xml:space="preserve"> who has</w:t>
      </w:r>
      <w:r w:rsidR="00072FFE">
        <w:t xml:space="preserve"> made every effort available to them to provide correct measurement</w:t>
      </w:r>
      <w:r w:rsidRPr="008B4B14">
        <w:t xml:space="preserve"> </w:t>
      </w:r>
      <w:r w:rsidR="00072FFE">
        <w:t xml:space="preserve">still </w:t>
      </w:r>
      <w:r w:rsidRPr="008B4B14">
        <w:t>find</w:t>
      </w:r>
      <w:r w:rsidR="00072FFE">
        <w:t>s</w:t>
      </w:r>
      <w:r w:rsidRPr="008B4B14">
        <w:t xml:space="preserve"> themselves exposed to a penalty for shortfall.</w:t>
      </w:r>
    </w:p>
    <w:p w14:paraId="0B7D9371" w14:textId="165F793D" w:rsidR="00883867" w:rsidRPr="0020329C" w:rsidRDefault="00FC4D3B" w:rsidP="0020329C">
      <w:r>
        <w:t>Consideration should also be given to the</w:t>
      </w:r>
      <w:r w:rsidR="00883867" w:rsidRPr="0020329C">
        <w:t xml:space="preserve"> </w:t>
      </w:r>
      <w:r w:rsidR="00B91E63">
        <w:t>interplay</w:t>
      </w:r>
      <w:r w:rsidR="00883867" w:rsidRPr="0020329C">
        <w:t xml:space="preserve"> between general consumer protection</w:t>
      </w:r>
      <w:r w:rsidR="001B7A2C">
        <w:t xml:space="preserve"> and</w:t>
      </w:r>
      <w:r w:rsidR="00883867" w:rsidRPr="0020329C">
        <w:t xml:space="preserve"> </w:t>
      </w:r>
      <w:r w:rsidR="003B558D">
        <w:t>mechanisms in</w:t>
      </w:r>
      <w:r w:rsidR="001B7A2C">
        <w:t xml:space="preserve"> the measurement law</w:t>
      </w:r>
      <w:r>
        <w:t xml:space="preserve"> to ensure confidence in measurement, such as shortfall offences.</w:t>
      </w:r>
      <w:r w:rsidR="00883867" w:rsidRPr="0020329C">
        <w:t xml:space="preserve"> The policy objective of shortfall is </w:t>
      </w:r>
      <w:r>
        <w:t>similar to</w:t>
      </w:r>
      <w:r w:rsidR="00883867" w:rsidRPr="0020329C">
        <w:t xml:space="preserve"> that of other consumer protection frameworks</w:t>
      </w:r>
      <w:r w:rsidR="00324BE9">
        <w:t xml:space="preserve"> (e.g. the </w:t>
      </w:r>
      <w:r w:rsidR="00EA74AD">
        <w:t>ACL</w:t>
      </w:r>
      <w:r w:rsidR="00324BE9">
        <w:t>)</w:t>
      </w:r>
      <w:r w:rsidR="00883867" w:rsidRPr="0020329C">
        <w:t xml:space="preserve"> </w:t>
      </w:r>
      <w:r>
        <w:t>and the resulting question is whether the current</w:t>
      </w:r>
      <w:r w:rsidR="00883867" w:rsidRPr="0020329C">
        <w:t xml:space="preserve"> level of interaction</w:t>
      </w:r>
      <w:r w:rsidR="00324BE9">
        <w:t>,</w:t>
      </w:r>
      <w:r w:rsidR="00883867" w:rsidRPr="0020329C">
        <w:t xml:space="preserve"> separation</w:t>
      </w:r>
      <w:r w:rsidR="00324BE9">
        <w:t xml:space="preserve"> and duplication</w:t>
      </w:r>
      <w:r w:rsidR="00883867" w:rsidRPr="0020329C">
        <w:t xml:space="preserve"> between these frameworks</w:t>
      </w:r>
      <w:r>
        <w:t xml:space="preserve"> is appropriate.</w:t>
      </w:r>
    </w:p>
    <w:p w14:paraId="6B8E1669" w14:textId="66123B97" w:rsidR="00883867" w:rsidRDefault="00883867" w:rsidP="00421C11">
      <w:pPr>
        <w:pStyle w:val="Heading5"/>
      </w:pPr>
      <w:r w:rsidRPr="002278B3">
        <w:rPr>
          <w:rFonts w:eastAsia="MS PGothic"/>
        </w:rPr>
        <w:t>Questions</w:t>
      </w:r>
      <w:r w:rsidR="00084348">
        <w:rPr>
          <w:rFonts w:eastAsia="MS PGothic"/>
        </w:rPr>
        <w:t>:</w:t>
      </w:r>
    </w:p>
    <w:p w14:paraId="44FEBB79" w14:textId="6CF10A61" w:rsidR="00883867" w:rsidRPr="008D7E58" w:rsidRDefault="0039525E" w:rsidP="008D7E58">
      <w:pPr>
        <w:pStyle w:val="ListParagraph"/>
        <w:numPr>
          <w:ilvl w:val="2"/>
          <w:numId w:val="61"/>
        </w:numPr>
        <w:rPr>
          <w:rFonts w:cstheme="minorHAnsi"/>
        </w:rPr>
      </w:pPr>
      <w:r w:rsidRPr="008D7E58">
        <w:rPr>
          <w:rFonts w:cstheme="minorHAnsi"/>
        </w:rPr>
        <w:t>How</w:t>
      </w:r>
      <w:r w:rsidR="00883867" w:rsidRPr="008D7E58">
        <w:rPr>
          <w:rFonts w:cstheme="minorHAnsi"/>
        </w:rPr>
        <w:t xml:space="preserve"> </w:t>
      </w:r>
      <w:r w:rsidRPr="008D7E58">
        <w:rPr>
          <w:rFonts w:cstheme="minorHAnsi"/>
        </w:rPr>
        <w:t xml:space="preserve">should </w:t>
      </w:r>
      <w:r w:rsidR="00883867" w:rsidRPr="008D7E58">
        <w:rPr>
          <w:rFonts w:cstheme="minorHAnsi"/>
        </w:rPr>
        <w:t>different types of shortfall be treated to ensure confidence</w:t>
      </w:r>
      <w:r w:rsidR="00D24CE4" w:rsidRPr="008D7E58">
        <w:rPr>
          <w:rFonts w:cstheme="minorHAnsi"/>
        </w:rPr>
        <w:t xml:space="preserve"> and protection</w:t>
      </w:r>
      <w:r w:rsidR="00883867" w:rsidRPr="008D7E58">
        <w:rPr>
          <w:rFonts w:cstheme="minorHAnsi"/>
        </w:rPr>
        <w:t xml:space="preserve"> for both business and consumers?</w:t>
      </w:r>
    </w:p>
    <w:p w14:paraId="25AA561E" w14:textId="77777777" w:rsidR="008C5F5B" w:rsidRDefault="008C5F5B" w:rsidP="00421C11">
      <w:pPr>
        <w:pStyle w:val="ListParagraph"/>
      </w:pPr>
    </w:p>
    <w:p w14:paraId="0C502251" w14:textId="697CF953" w:rsidR="008C5F5B" w:rsidRPr="0020329C" w:rsidRDefault="00135FD5" w:rsidP="00421C11">
      <w:pPr>
        <w:pStyle w:val="ListParagraph"/>
        <w:ind w:firstLine="720"/>
      </w:pPr>
      <w:r w:rsidRPr="0020329C">
        <w:t>In responding to this question you might wish to consider:</w:t>
      </w:r>
    </w:p>
    <w:p w14:paraId="1FE33B3C" w14:textId="7BA036FB" w:rsidR="00F05DF9" w:rsidRDefault="00CB184C" w:rsidP="00421C11">
      <w:pPr>
        <w:pStyle w:val="ListParagraph"/>
        <w:numPr>
          <w:ilvl w:val="0"/>
          <w:numId w:val="48"/>
        </w:numPr>
      </w:pPr>
      <w:r>
        <w:t xml:space="preserve">if </w:t>
      </w:r>
      <w:r w:rsidR="004A586E">
        <w:t xml:space="preserve">the </w:t>
      </w:r>
      <w:r>
        <w:t>current approach focusing on t</w:t>
      </w:r>
      <w:r w:rsidR="00070574">
        <w:t>he sale of goods is appropriate</w:t>
      </w:r>
    </w:p>
    <w:p w14:paraId="5631115C" w14:textId="4C6A28E1" w:rsidR="008C5F5B" w:rsidRDefault="000F5159" w:rsidP="00421C11">
      <w:pPr>
        <w:pStyle w:val="ListParagraph"/>
        <w:numPr>
          <w:ilvl w:val="0"/>
          <w:numId w:val="48"/>
        </w:numPr>
      </w:pPr>
      <w:r>
        <w:t>alternative approaches to addre</w:t>
      </w:r>
      <w:r w:rsidR="00BD339D">
        <w:t>ssing incorrect measurement</w:t>
      </w:r>
      <w:r w:rsidR="004D42B7">
        <w:t>,</w:t>
      </w:r>
      <w:r w:rsidR="00286554">
        <w:t xml:space="preserve"> and</w:t>
      </w:r>
    </w:p>
    <w:p w14:paraId="063AAECD" w14:textId="5D660584" w:rsidR="008C5F5B" w:rsidRDefault="00C05AAF" w:rsidP="00421C11">
      <w:pPr>
        <w:pStyle w:val="ListParagraph"/>
        <w:numPr>
          <w:ilvl w:val="0"/>
          <w:numId w:val="48"/>
        </w:numPr>
      </w:pPr>
      <w:r>
        <w:t>whether the current level of interaction with general consumer protection laws is suitable</w:t>
      </w:r>
      <w:r w:rsidR="00070574">
        <w:t>.</w:t>
      </w:r>
    </w:p>
    <w:p w14:paraId="56C4AB8C" w14:textId="77777777" w:rsidR="0088371D" w:rsidRDefault="0088371D" w:rsidP="00421C11">
      <w:pPr>
        <w:pStyle w:val="ListParagraph"/>
      </w:pPr>
    </w:p>
    <w:p w14:paraId="74B51CD9" w14:textId="0BC2E600" w:rsidR="00261157" w:rsidRPr="008D7E58" w:rsidRDefault="00261157" w:rsidP="008D7E58">
      <w:pPr>
        <w:pStyle w:val="ListParagraph"/>
        <w:numPr>
          <w:ilvl w:val="2"/>
          <w:numId w:val="61"/>
        </w:numPr>
        <w:rPr>
          <w:rFonts w:cstheme="minorHAnsi"/>
        </w:rPr>
      </w:pPr>
      <w:r w:rsidRPr="008D7E58">
        <w:rPr>
          <w:rFonts w:cstheme="minorHAnsi"/>
        </w:rPr>
        <w:t>Is the current system of zero tolerance shortfall appropriate? How could this be approached differently?</w:t>
      </w:r>
    </w:p>
    <w:p w14:paraId="375D278C" w14:textId="77777777" w:rsidR="00421C11" w:rsidRPr="008D7E58" w:rsidRDefault="00421C11" w:rsidP="008D7E58">
      <w:pPr>
        <w:pStyle w:val="ListParagraph"/>
        <w:ind w:left="1224"/>
        <w:rPr>
          <w:rFonts w:cstheme="minorHAnsi"/>
        </w:rPr>
      </w:pPr>
    </w:p>
    <w:p w14:paraId="21B50440" w14:textId="77777777" w:rsidR="00143D5E" w:rsidRDefault="00143D5E">
      <w:pPr>
        <w:rPr>
          <w:rFonts w:asciiTheme="majorHAnsi" w:eastAsiaTheme="majorEastAsia" w:hAnsiTheme="majorHAnsi" w:cstheme="majorBidi"/>
          <w:color w:val="2E74B5" w:themeColor="accent1" w:themeShade="BF"/>
          <w:sz w:val="32"/>
          <w:szCs w:val="32"/>
        </w:rPr>
      </w:pPr>
      <w:bookmarkStart w:id="17" w:name="_Toc536700734"/>
      <w:bookmarkStart w:id="18" w:name="_Toc3461889"/>
      <w:r>
        <w:br w:type="page"/>
      </w:r>
    </w:p>
    <w:p w14:paraId="3E20ED5D" w14:textId="63CBEFA2" w:rsidR="0027646C" w:rsidRPr="008D7E58" w:rsidRDefault="00327E68" w:rsidP="008D7E58">
      <w:pPr>
        <w:pStyle w:val="Heading1"/>
        <w:numPr>
          <w:ilvl w:val="0"/>
          <w:numId w:val="61"/>
        </w:numPr>
      </w:pPr>
      <w:r w:rsidRPr="008D7E58">
        <w:lastRenderedPageBreak/>
        <w:t xml:space="preserve">Sale of </w:t>
      </w:r>
      <w:r w:rsidR="00C22717" w:rsidRPr="008D7E58">
        <w:t>Non-Packaged Goods</w:t>
      </w:r>
      <w:bookmarkEnd w:id="17"/>
      <w:bookmarkEnd w:id="18"/>
    </w:p>
    <w:p w14:paraId="2FBA2CE2" w14:textId="20CF8083" w:rsidR="00331FD1" w:rsidRPr="008D7E58" w:rsidDel="005C7CAD" w:rsidRDefault="00331FD1" w:rsidP="008D7E58">
      <w:pPr>
        <w:pStyle w:val="Heading2"/>
        <w:numPr>
          <w:ilvl w:val="1"/>
          <w:numId w:val="61"/>
        </w:numPr>
        <w:ind w:left="720" w:hanging="720"/>
      </w:pPr>
      <w:bookmarkStart w:id="19" w:name="_Toc3461890"/>
      <w:r w:rsidRPr="008D7E58" w:rsidDel="005C7CAD">
        <w:t>Current Approach</w:t>
      </w:r>
      <w:bookmarkEnd w:id="19"/>
    </w:p>
    <w:p w14:paraId="40443AFA" w14:textId="1FAF1695" w:rsidR="008F54B1" w:rsidRDefault="00B03EC8">
      <w:r>
        <w:t>Non-packaged g</w:t>
      </w:r>
      <w:r w:rsidR="00A11556" w:rsidRPr="00A61DA8">
        <w:t>oods</w:t>
      </w:r>
      <w:r w:rsidR="00A42FBD">
        <w:t xml:space="preserve"> </w:t>
      </w:r>
      <w:r w:rsidR="001011B7">
        <w:t xml:space="preserve">(goods that are not in a sealed package </w:t>
      </w:r>
      <w:r w:rsidR="00AC0767">
        <w:t>in which they will be sold</w:t>
      </w:r>
      <w:r w:rsidR="009B7245">
        <w:t xml:space="preserve">) </w:t>
      </w:r>
      <w:r w:rsidR="009B7245" w:rsidRPr="00A61DA8">
        <w:t>that</w:t>
      </w:r>
      <w:r>
        <w:t xml:space="preserve"> are sold </w:t>
      </w:r>
      <w:r w:rsidR="00A11556" w:rsidRPr="00A61DA8">
        <w:t>by reference to a measurement (</w:t>
      </w:r>
      <w:r w:rsidR="004F3C35">
        <w:t xml:space="preserve">for example </w:t>
      </w:r>
      <w:r w:rsidR="00A11556" w:rsidRPr="00A61DA8">
        <w:t xml:space="preserve">weight, volume, </w:t>
      </w:r>
      <w:r w:rsidR="004F3C35">
        <w:t>area</w:t>
      </w:r>
      <w:r w:rsidR="00A11556" w:rsidRPr="00A61DA8">
        <w:t xml:space="preserve"> or length)</w:t>
      </w:r>
      <w:r w:rsidR="004F3C35">
        <w:t xml:space="preserve"> </w:t>
      </w:r>
      <w:r>
        <w:t>are subject to legal</w:t>
      </w:r>
      <w:r w:rsidR="004F3C35">
        <w:t xml:space="preserve"> </w:t>
      </w:r>
      <w:r w:rsidR="00A11556" w:rsidRPr="00A61DA8">
        <w:t xml:space="preserve">requirements </w:t>
      </w:r>
      <w:r w:rsidR="005C5FAA">
        <w:t xml:space="preserve">under Australia’s measurement legislation </w:t>
      </w:r>
      <w:r w:rsidR="00A11556" w:rsidRPr="00A61DA8">
        <w:t>includ</w:t>
      </w:r>
      <w:r>
        <w:t>ing</w:t>
      </w:r>
      <w:r w:rsidR="008F54B1">
        <w:t>:</w:t>
      </w:r>
    </w:p>
    <w:p w14:paraId="3C1973D7" w14:textId="1B02199D" w:rsidR="008F54B1" w:rsidRPr="008F54B1" w:rsidRDefault="00A11556" w:rsidP="00D204AD">
      <w:pPr>
        <w:pStyle w:val="ListParagraph"/>
        <w:numPr>
          <w:ilvl w:val="0"/>
          <w:numId w:val="50"/>
        </w:numPr>
      </w:pPr>
      <w:r w:rsidRPr="008F54B1">
        <w:t>using specified measurement units</w:t>
      </w:r>
      <w:r w:rsidR="005C5FAA">
        <w:rPr>
          <w:rStyle w:val="FootnoteReference"/>
          <w:sz w:val="20"/>
          <w:szCs w:val="20"/>
        </w:rPr>
        <w:footnoteReference w:id="18"/>
      </w:r>
      <w:r w:rsidR="00983810" w:rsidRPr="008F54B1">
        <w:t xml:space="preserve"> </w:t>
      </w:r>
    </w:p>
    <w:p w14:paraId="030FCACD" w14:textId="3A9D5A73" w:rsidR="008F54B1" w:rsidRPr="009C3155" w:rsidRDefault="00A11556" w:rsidP="00D204AD">
      <w:pPr>
        <w:pStyle w:val="ListParagraph"/>
        <w:numPr>
          <w:ilvl w:val="0"/>
          <w:numId w:val="50"/>
        </w:numPr>
      </w:pPr>
      <w:r w:rsidRPr="008F54B1">
        <w:t>sale by net measurement (</w:t>
      </w:r>
      <w:r w:rsidR="00C35D0D">
        <w:t>goods</w:t>
      </w:r>
      <w:r w:rsidR="00C35D0D" w:rsidRPr="008F54B1">
        <w:t xml:space="preserve"> </w:t>
      </w:r>
      <w:r w:rsidRPr="008F54B1">
        <w:t xml:space="preserve">minus </w:t>
      </w:r>
      <w:r w:rsidR="00021904">
        <w:t xml:space="preserve">any </w:t>
      </w:r>
      <w:r w:rsidRPr="008F54B1">
        <w:t>packaging</w:t>
      </w:r>
      <w:r w:rsidR="00021904">
        <w:t xml:space="preserve"> introduced at the point of sale, such as a container or plastic bag</w:t>
      </w:r>
      <w:r w:rsidRPr="008F54B1">
        <w:t>)</w:t>
      </w:r>
      <w:r w:rsidR="004D42B7">
        <w:t>,</w:t>
      </w:r>
      <w:r w:rsidR="00D71440">
        <w:rPr>
          <w:rStyle w:val="FootnoteReference"/>
          <w:sz w:val="20"/>
          <w:szCs w:val="20"/>
        </w:rPr>
        <w:footnoteReference w:id="19"/>
      </w:r>
      <w:r w:rsidR="00286554">
        <w:t xml:space="preserve"> and</w:t>
      </w:r>
    </w:p>
    <w:p w14:paraId="3A04DBD7" w14:textId="77C701EE" w:rsidR="008F54B1" w:rsidRPr="009C3155" w:rsidRDefault="00A11556" w:rsidP="00D204AD">
      <w:pPr>
        <w:pStyle w:val="ListParagraph"/>
        <w:numPr>
          <w:ilvl w:val="0"/>
          <w:numId w:val="50"/>
        </w:numPr>
      </w:pPr>
      <w:r w:rsidRPr="009C3155">
        <w:t xml:space="preserve">ensuring the </w:t>
      </w:r>
      <w:r w:rsidR="00983810" w:rsidRPr="009C3155">
        <w:t xml:space="preserve">stated </w:t>
      </w:r>
      <w:r w:rsidRPr="009C3155">
        <w:t>measurement is correct</w:t>
      </w:r>
      <w:r w:rsidR="00A66EB3">
        <w:rPr>
          <w:rStyle w:val="FootnoteReference"/>
          <w:sz w:val="20"/>
          <w:szCs w:val="20"/>
        </w:rPr>
        <w:footnoteReference w:id="20"/>
      </w:r>
      <w:r w:rsidRPr="009C3155">
        <w:t>.</w:t>
      </w:r>
      <w:r w:rsidR="00207B0E" w:rsidRPr="009C3155">
        <w:t xml:space="preserve"> </w:t>
      </w:r>
    </w:p>
    <w:p w14:paraId="1458A0B0" w14:textId="64BD207D" w:rsidR="00331FD1" w:rsidRDefault="008F4A86" w:rsidP="00D204AD">
      <w:r w:rsidRPr="009C3155">
        <w:t xml:space="preserve">Such requirements are in place to </w:t>
      </w:r>
      <w:r w:rsidR="00021904">
        <w:t>minimise the risk</w:t>
      </w:r>
      <w:r w:rsidR="002448A0">
        <w:t xml:space="preserve"> of</w:t>
      </w:r>
      <w:r w:rsidR="00021904">
        <w:t xml:space="preserve">, or </w:t>
      </w:r>
      <w:r w:rsidRPr="009C3155">
        <w:t>address</w:t>
      </w:r>
      <w:r w:rsidR="00021904">
        <w:t>, potential</w:t>
      </w:r>
      <w:r w:rsidRPr="009C3155">
        <w:t xml:space="preserve"> market failures </w:t>
      </w:r>
      <w:r w:rsidR="00021904">
        <w:t xml:space="preserve">caused by </w:t>
      </w:r>
      <w:r w:rsidRPr="009C3155">
        <w:t>asymmetric information between buyers and sellers</w:t>
      </w:r>
      <w:r w:rsidR="002448A0">
        <w:t>. These requirements also</w:t>
      </w:r>
      <w:r w:rsidRPr="009C3155">
        <w:t xml:space="preserve"> </w:t>
      </w:r>
      <w:r w:rsidR="002448A0">
        <w:t>help establish</w:t>
      </w:r>
      <w:r w:rsidR="002448A0" w:rsidRPr="00A61DA8">
        <w:t xml:space="preserve"> </w:t>
      </w:r>
      <w:r w:rsidRPr="009C3155">
        <w:t xml:space="preserve">confidence </w:t>
      </w:r>
      <w:r w:rsidR="002448A0">
        <w:t>on the part of</w:t>
      </w:r>
      <w:r w:rsidR="002448A0" w:rsidRPr="009C3155">
        <w:t xml:space="preserve"> </w:t>
      </w:r>
      <w:r w:rsidR="00AC7CE5">
        <w:t xml:space="preserve">the </w:t>
      </w:r>
      <w:r w:rsidRPr="009C3155">
        <w:t xml:space="preserve">parties </w:t>
      </w:r>
      <w:r w:rsidR="009D44AE">
        <w:t xml:space="preserve">to </w:t>
      </w:r>
      <w:r w:rsidR="00D83C72">
        <w:t>the</w:t>
      </w:r>
      <w:r w:rsidRPr="009C3155">
        <w:t xml:space="preserve"> transaction that they are receiving what </w:t>
      </w:r>
      <w:r w:rsidR="00D83C72">
        <w:t>they paid for</w:t>
      </w:r>
      <w:r w:rsidR="009B7245" w:rsidRPr="00A61DA8">
        <w:t>.</w:t>
      </w:r>
    </w:p>
    <w:p w14:paraId="68DE3830" w14:textId="5057934A" w:rsidR="006E7B12" w:rsidRDefault="00B03EC8" w:rsidP="0046150D">
      <w:r w:rsidRPr="00A61DA8">
        <w:t>Australia’s measurement laws</w:t>
      </w:r>
      <w:r w:rsidR="007F1E94">
        <w:t>,</w:t>
      </w:r>
      <w:r w:rsidR="00BE088D">
        <w:t xml:space="preserve"> </w:t>
      </w:r>
      <w:r w:rsidR="004A586E">
        <w:t>for the most part</w:t>
      </w:r>
      <w:r w:rsidR="007F1E94">
        <w:t>,</w:t>
      </w:r>
      <w:r w:rsidR="004A586E" w:rsidRPr="00A61DA8">
        <w:t xml:space="preserve"> </w:t>
      </w:r>
      <w:r w:rsidRPr="00A61DA8">
        <w:t>don’t specify how goods must be sol</w:t>
      </w:r>
      <w:r w:rsidR="00BE088D">
        <w:t>d. However</w:t>
      </w:r>
      <w:r w:rsidR="00826AD9">
        <w:t>,</w:t>
      </w:r>
      <w:r w:rsidR="00BE088D">
        <w:t xml:space="preserve"> there are some goods which must be sold </w:t>
      </w:r>
      <w:r w:rsidR="00806D76">
        <w:t>with</w:t>
      </w:r>
      <w:r w:rsidR="00BE088D">
        <w:t xml:space="preserve"> reference to measurement. Examples of these include</w:t>
      </w:r>
      <w:r w:rsidR="006E7B12">
        <w:t>:</w:t>
      </w:r>
    </w:p>
    <w:p w14:paraId="73D4E336" w14:textId="68B4A24F" w:rsidR="009B24E2" w:rsidRDefault="00265857" w:rsidP="00D204AD">
      <w:pPr>
        <w:pStyle w:val="ListParagraph"/>
        <w:numPr>
          <w:ilvl w:val="0"/>
          <w:numId w:val="51"/>
        </w:numPr>
      </w:pPr>
      <w:r>
        <w:t>Meat must be sold at a price per kilogram that is clearly marked</w:t>
      </w:r>
      <w:r w:rsidR="00A66EB3" w:rsidRPr="00A61DA8">
        <w:rPr>
          <w:rStyle w:val="FootnoteReference"/>
          <w:sz w:val="20"/>
          <w:szCs w:val="20"/>
        </w:rPr>
        <w:footnoteReference w:id="21"/>
      </w:r>
      <w:r w:rsidR="001F6C8B">
        <w:t>.</w:t>
      </w:r>
    </w:p>
    <w:p w14:paraId="589DD7BE" w14:textId="37274BF5" w:rsidR="00265857" w:rsidRDefault="000420DB" w:rsidP="00D204AD">
      <w:pPr>
        <w:pStyle w:val="ListParagraph"/>
        <w:numPr>
          <w:ilvl w:val="0"/>
          <w:numId w:val="51"/>
        </w:numPr>
      </w:pPr>
      <w:r>
        <w:t>Beer, stout, ale, brandy, gin, rum, vodka and whisk(e)y must be sold by reference to volume</w:t>
      </w:r>
      <w:r w:rsidR="00A66EB3" w:rsidRPr="00A61DA8">
        <w:rPr>
          <w:rStyle w:val="FootnoteReference"/>
          <w:sz w:val="20"/>
          <w:szCs w:val="20"/>
        </w:rPr>
        <w:footnoteReference w:id="22"/>
      </w:r>
      <w:r w:rsidR="001F6C8B">
        <w:t>.</w:t>
      </w:r>
    </w:p>
    <w:p w14:paraId="4017770E" w14:textId="45139BBA" w:rsidR="000420DB" w:rsidRDefault="000420DB" w:rsidP="00D204AD">
      <w:pPr>
        <w:pStyle w:val="ListParagraph"/>
        <w:numPr>
          <w:ilvl w:val="0"/>
          <w:numId w:val="51"/>
        </w:numPr>
      </w:pPr>
      <w:r>
        <w:t>LPG</w:t>
      </w:r>
      <w:r w:rsidR="00507616">
        <w:rPr>
          <w:rStyle w:val="FootnoteReference"/>
          <w:sz w:val="20"/>
        </w:rPr>
        <w:footnoteReference w:id="23"/>
      </w:r>
      <w:r>
        <w:t xml:space="preserve"> </w:t>
      </w:r>
      <w:r w:rsidR="00C1183E">
        <w:t>when sold by volume must be determined by the amount in litres the LPG occupies, or would occupy, at</w:t>
      </w:r>
      <w:r w:rsidR="007F1E94">
        <w:t xml:space="preserve"> a temperature of</w:t>
      </w:r>
      <w:r w:rsidR="00C1183E">
        <w:t xml:space="preserve"> 15 degrees Celsius</w:t>
      </w:r>
      <w:r w:rsidR="00D617CE">
        <w:t>.</w:t>
      </w:r>
    </w:p>
    <w:p w14:paraId="35770532" w14:textId="57386C7A" w:rsidR="00514DB3" w:rsidRDefault="00FD4988" w:rsidP="00772C5F">
      <w:r>
        <w:t>The NTMR includes a list of animals, the meat of which must be sold by</w:t>
      </w:r>
      <w:r w:rsidR="00F3000F">
        <w:t xml:space="preserve"> weight</w:t>
      </w:r>
      <w:r w:rsidR="001B35CB">
        <w:rPr>
          <w:rStyle w:val="FootnoteReference"/>
          <w:sz w:val="20"/>
          <w:szCs w:val="20"/>
        </w:rPr>
        <w:footnoteReference w:id="24"/>
      </w:r>
      <w:r>
        <w:t>.</w:t>
      </w:r>
      <w:r w:rsidR="00772C5F" w:rsidRPr="00A61DA8">
        <w:t xml:space="preserve"> </w:t>
      </w:r>
      <w:r>
        <w:t>If, however, that meat has been</w:t>
      </w:r>
      <w:r w:rsidR="00772C5F" w:rsidRPr="00A61DA8">
        <w:t xml:space="preserve"> subject</w:t>
      </w:r>
      <w:r w:rsidR="001B35CB">
        <w:t>ed</w:t>
      </w:r>
      <w:r w:rsidR="00772C5F" w:rsidRPr="00A61DA8">
        <w:t xml:space="preserve"> to particular processes</w:t>
      </w:r>
      <w:r w:rsidR="00F83639">
        <w:t xml:space="preserve"> (such as reconstitution)</w:t>
      </w:r>
      <w:r w:rsidR="00A66EB3" w:rsidRPr="00A66EB3">
        <w:rPr>
          <w:rStyle w:val="FootnoteReference"/>
          <w:sz w:val="20"/>
          <w:szCs w:val="20"/>
        </w:rPr>
        <w:t xml:space="preserve"> </w:t>
      </w:r>
      <w:r w:rsidR="00A66EB3">
        <w:rPr>
          <w:rStyle w:val="FootnoteReference"/>
          <w:sz w:val="20"/>
          <w:szCs w:val="20"/>
        </w:rPr>
        <w:footnoteReference w:id="25"/>
      </w:r>
      <w:r w:rsidR="00597B9D">
        <w:t>, i</w:t>
      </w:r>
      <w:r>
        <w:t>t no longer has to be sold by weight</w:t>
      </w:r>
      <w:r w:rsidR="00772C5F" w:rsidRPr="00A61DA8">
        <w:t>.</w:t>
      </w:r>
      <w:r w:rsidR="00772C5F">
        <w:t xml:space="preserve"> </w:t>
      </w:r>
      <w:r w:rsidR="00F3000F">
        <w:t>However, if the meat has been subject to other processes (such as mincing)</w:t>
      </w:r>
      <w:r w:rsidR="00A66EB3" w:rsidRPr="00A66EB3">
        <w:rPr>
          <w:rStyle w:val="FootnoteReference"/>
          <w:sz w:val="20"/>
          <w:szCs w:val="20"/>
        </w:rPr>
        <w:t xml:space="preserve"> </w:t>
      </w:r>
      <w:r w:rsidR="00A66EB3">
        <w:rPr>
          <w:rStyle w:val="FootnoteReference"/>
          <w:sz w:val="20"/>
          <w:szCs w:val="20"/>
        </w:rPr>
        <w:footnoteReference w:id="26"/>
      </w:r>
      <w:r w:rsidR="00F3000F">
        <w:t xml:space="preserve">, then it does need to be sold by weight. </w:t>
      </w:r>
      <w:r w:rsidR="00772C5F">
        <w:t>This can create perceived inconsistencies in the way meat is sold.</w:t>
      </w:r>
    </w:p>
    <w:p w14:paraId="4BAA0E0D" w14:textId="44F115C4" w:rsidR="001E0527" w:rsidRPr="005A641F" w:rsidRDefault="001E0527" w:rsidP="009C5BC0">
      <w:pPr>
        <w:keepLines/>
        <w:pBdr>
          <w:top w:val="single" w:sz="4" w:space="4" w:color="ED7D31" w:themeColor="accent2"/>
          <w:left w:val="single" w:sz="4" w:space="4" w:color="ED7D31" w:themeColor="accent2"/>
          <w:bottom w:val="single" w:sz="4" w:space="4" w:color="ED7D31" w:themeColor="accent2"/>
          <w:right w:val="single" w:sz="4" w:space="4" w:color="ED7D31" w:themeColor="accent2"/>
        </w:pBdr>
        <w:shd w:val="clear" w:color="auto" w:fill="FDF1E9" w:themeFill="accent2" w:themeFillTint="1A"/>
        <w:ind w:left="113" w:right="113"/>
        <w:rPr>
          <w:rFonts w:eastAsia="Times New Roman" w:cs="Times New Roman"/>
          <w:b/>
        </w:rPr>
      </w:pPr>
      <w:r w:rsidRPr="005A641F">
        <w:rPr>
          <w:rFonts w:eastAsia="Times New Roman" w:cs="Times New Roman"/>
          <w:b/>
        </w:rPr>
        <w:t xml:space="preserve">Case </w:t>
      </w:r>
      <w:r w:rsidR="00DB44BA">
        <w:rPr>
          <w:rFonts w:eastAsia="Times New Roman" w:cs="Times New Roman"/>
          <w:b/>
        </w:rPr>
        <w:t>S</w:t>
      </w:r>
      <w:r w:rsidRPr="005A641F">
        <w:rPr>
          <w:rFonts w:eastAsia="Times New Roman" w:cs="Times New Roman"/>
          <w:b/>
        </w:rPr>
        <w:t>tudy C:</w:t>
      </w:r>
      <w:r w:rsidR="00AB07D0" w:rsidRPr="005A641F">
        <w:rPr>
          <w:rFonts w:eastAsia="Times New Roman" w:cs="Times New Roman"/>
          <w:b/>
        </w:rPr>
        <w:t xml:space="preserve"> Selling chicken schnitzels by weight</w:t>
      </w:r>
    </w:p>
    <w:p w14:paraId="5917971A" w14:textId="42A73ECC" w:rsidR="00274E17" w:rsidRPr="005A641F" w:rsidRDefault="00274E17" w:rsidP="009C5BC0">
      <w:pPr>
        <w:keepLines/>
        <w:pBdr>
          <w:top w:val="single" w:sz="4" w:space="4" w:color="ED7D31" w:themeColor="accent2"/>
          <w:left w:val="single" w:sz="4" w:space="4" w:color="ED7D31" w:themeColor="accent2"/>
          <w:bottom w:val="single" w:sz="4" w:space="4" w:color="ED7D31" w:themeColor="accent2"/>
          <w:right w:val="single" w:sz="4" w:space="4" w:color="ED7D31" w:themeColor="accent2"/>
        </w:pBdr>
        <w:shd w:val="clear" w:color="auto" w:fill="FDF1E9" w:themeFill="accent2" w:themeFillTint="1A"/>
        <w:ind w:left="113" w:right="113"/>
        <w:rPr>
          <w:rFonts w:eastAsia="Times New Roman" w:cs="Times New Roman"/>
        </w:rPr>
      </w:pPr>
      <w:r w:rsidRPr="005A641F">
        <w:rPr>
          <w:rFonts w:eastAsia="Times New Roman" w:cs="Times New Roman"/>
        </w:rPr>
        <w:t xml:space="preserve">A butcher makes chicken schnitzels by flattening and crumbing chicken breast, whereas </w:t>
      </w:r>
      <w:r w:rsidR="001E2279">
        <w:rPr>
          <w:rFonts w:eastAsia="Times New Roman" w:cs="Times New Roman"/>
        </w:rPr>
        <w:t>a neighbouring</w:t>
      </w:r>
      <w:r w:rsidR="001E2279" w:rsidRPr="005A641F">
        <w:rPr>
          <w:rFonts w:eastAsia="Times New Roman" w:cs="Times New Roman"/>
        </w:rPr>
        <w:t xml:space="preserve"> </w:t>
      </w:r>
      <w:r w:rsidRPr="005A641F">
        <w:rPr>
          <w:rFonts w:eastAsia="Times New Roman" w:cs="Times New Roman"/>
        </w:rPr>
        <w:t xml:space="preserve">supermarket makes schnitzels by crumbing reconstituted chicken. Meat must be sold by </w:t>
      </w:r>
      <w:r w:rsidR="002445CC" w:rsidRPr="005A641F">
        <w:rPr>
          <w:rFonts w:eastAsia="Times New Roman" w:cs="Times New Roman"/>
        </w:rPr>
        <w:t>weight</w:t>
      </w:r>
      <w:r w:rsidRPr="005A641F">
        <w:rPr>
          <w:rFonts w:eastAsia="Times New Roman" w:cs="Times New Roman"/>
        </w:rPr>
        <w:t xml:space="preserve"> and, under the NTMR, chicken breast </w:t>
      </w:r>
      <w:r w:rsidR="001E0527" w:rsidRPr="005A641F">
        <w:rPr>
          <w:rFonts w:eastAsia="Times New Roman" w:cs="Times New Roman"/>
        </w:rPr>
        <w:t>is defined as</w:t>
      </w:r>
      <w:r w:rsidRPr="005A641F">
        <w:rPr>
          <w:rFonts w:eastAsia="Times New Roman" w:cs="Times New Roman"/>
        </w:rPr>
        <w:t xml:space="preserve"> meat while reconstituted chicken </w:t>
      </w:r>
      <w:r w:rsidR="001E0527" w:rsidRPr="005A641F">
        <w:rPr>
          <w:rFonts w:eastAsia="Times New Roman" w:cs="Times New Roman"/>
        </w:rPr>
        <w:t>is</w:t>
      </w:r>
      <w:r w:rsidRPr="005A641F">
        <w:rPr>
          <w:rFonts w:eastAsia="Times New Roman" w:cs="Times New Roman"/>
        </w:rPr>
        <w:t xml:space="preserve"> not. Because crumbing does not affect this classification, the butcher must advertise his schnitzels at a price per kilogram whereas the supermarket can sell theirs </w:t>
      </w:r>
      <w:r w:rsidR="001E2279">
        <w:rPr>
          <w:rFonts w:eastAsia="Times New Roman" w:cs="Times New Roman"/>
        </w:rPr>
        <w:t xml:space="preserve">either </w:t>
      </w:r>
      <w:r w:rsidRPr="005A641F">
        <w:rPr>
          <w:rFonts w:eastAsia="Times New Roman" w:cs="Times New Roman"/>
        </w:rPr>
        <w:t>per kilogram or per schnitzel.</w:t>
      </w:r>
    </w:p>
    <w:p w14:paraId="54838332" w14:textId="496DCC10" w:rsidR="00E33BCC" w:rsidRPr="008D7E58" w:rsidRDefault="00E1462D" w:rsidP="008D7E58">
      <w:pPr>
        <w:pStyle w:val="Heading2"/>
        <w:numPr>
          <w:ilvl w:val="1"/>
          <w:numId w:val="61"/>
        </w:numPr>
        <w:ind w:left="720" w:hanging="720"/>
      </w:pPr>
      <w:bookmarkStart w:id="20" w:name="_Toc3461891"/>
      <w:r w:rsidRPr="008D7E58">
        <w:lastRenderedPageBreak/>
        <w:t>Issues</w:t>
      </w:r>
      <w:bookmarkEnd w:id="20"/>
    </w:p>
    <w:p w14:paraId="7D8CB140" w14:textId="6FDCDEC3" w:rsidR="00B60015" w:rsidRDefault="00D27A4E">
      <w:r>
        <w:t>Some of the issues for consideration regarding the sale of non-packaged good</w:t>
      </w:r>
      <w:r w:rsidR="00B17377">
        <w:t>s</w:t>
      </w:r>
      <w:r>
        <w:t xml:space="preserve"> include whether measurement laws should prescribe how goods must be sold and particular issues associated with the sale of meat and alcohol.</w:t>
      </w:r>
    </w:p>
    <w:p w14:paraId="30B3787A" w14:textId="5491BCD0" w:rsidR="00331201" w:rsidRDefault="00E958AE">
      <w:r>
        <w:t xml:space="preserve">The measurement law prescribes how </w:t>
      </w:r>
      <w:r w:rsidR="00771DA7">
        <w:t>certain</w:t>
      </w:r>
      <w:r w:rsidR="008147D6">
        <w:t xml:space="preserve"> goods must be sold and</w:t>
      </w:r>
      <w:r>
        <w:t xml:space="preserve"> this places an additional </w:t>
      </w:r>
      <w:r w:rsidR="008147D6">
        <w:t xml:space="preserve">regulatory </w:t>
      </w:r>
      <w:r>
        <w:t>burden on business</w:t>
      </w:r>
      <w:r w:rsidR="00DB44BA">
        <w:t>es</w:t>
      </w:r>
      <w:r>
        <w:t xml:space="preserve"> who sell these goods. </w:t>
      </w:r>
      <w:r w:rsidR="009F1A1E">
        <w:t xml:space="preserve">In prescribing how goods must be sold, </w:t>
      </w:r>
      <w:r w:rsidR="00C46C2E">
        <w:t xml:space="preserve">the focus of these requirements </w:t>
      </w:r>
      <w:r w:rsidR="00B12D84">
        <w:t>generally appears to be</w:t>
      </w:r>
      <w:r w:rsidR="00C46C2E">
        <w:t xml:space="preserve"> on consumer</w:t>
      </w:r>
      <w:r w:rsidR="00DB44BA">
        <w:t>-</w:t>
      </w:r>
      <w:r w:rsidR="00C46C2E">
        <w:t>related products</w:t>
      </w:r>
      <w:r w:rsidR="00DB44BA">
        <w:t>,</w:t>
      </w:r>
      <w:r w:rsidR="00C46C2E">
        <w:t xml:space="preserve"> adding additional levels of regulation to these types of businesses.</w:t>
      </w:r>
      <w:r w:rsidR="00F2342B">
        <w:t xml:space="preserve"> For example, meat must be sold by weight</w:t>
      </w:r>
      <w:r w:rsidR="00F2342B">
        <w:rPr>
          <w:rStyle w:val="FootnoteReference"/>
          <w:sz w:val="20"/>
        </w:rPr>
        <w:footnoteReference w:id="27"/>
      </w:r>
      <w:r w:rsidR="00F2342B">
        <w:t xml:space="preserve"> and where timber is sold by length it must be in millimetres, centimetres or metres</w:t>
      </w:r>
      <w:r w:rsidR="00F2342B">
        <w:rPr>
          <w:rStyle w:val="FootnoteReference"/>
          <w:sz w:val="20"/>
        </w:rPr>
        <w:footnoteReference w:id="28"/>
      </w:r>
      <w:r w:rsidR="00F2342B">
        <w:t>.</w:t>
      </w:r>
      <w:r w:rsidR="00C46C2E">
        <w:t xml:space="preserve"> </w:t>
      </w:r>
      <w:r w:rsidR="00DB44BA">
        <w:t xml:space="preserve">In contrast, </w:t>
      </w:r>
      <w:r w:rsidR="00C46C2E" w:rsidRPr="008D23A2">
        <w:t>businesses who trade in much larger</w:t>
      </w:r>
      <w:r w:rsidR="00DB44BA" w:rsidRPr="008D23A2">
        <w:t>-</w:t>
      </w:r>
      <w:r w:rsidR="00C46C2E" w:rsidRPr="008D23A2">
        <w:t xml:space="preserve">scale commodities are </w:t>
      </w:r>
      <w:r w:rsidR="00D204AD" w:rsidRPr="008D23A2">
        <w:t xml:space="preserve">typically </w:t>
      </w:r>
      <w:r w:rsidR="00C46C2E" w:rsidRPr="008D23A2">
        <w:t xml:space="preserve">afforded the flexibility of determining whether to sell their goods by measurement </w:t>
      </w:r>
      <w:r w:rsidR="00DB44BA" w:rsidRPr="008D23A2">
        <w:t>and, if so,</w:t>
      </w:r>
      <w:r w:rsidR="00C46C2E" w:rsidRPr="008D23A2">
        <w:t xml:space="preserve"> the type of measurement they wish to use.</w:t>
      </w:r>
      <w:r w:rsidR="00F2342B">
        <w:t xml:space="preserve"> For example, the price of bu</w:t>
      </w:r>
      <w:r w:rsidR="00181EE0">
        <w:t>lk grain is determined based on</w:t>
      </w:r>
      <w:r w:rsidR="00F2342B">
        <w:t xml:space="preserve"> weight and </w:t>
      </w:r>
      <w:r w:rsidR="00181EE0">
        <w:t xml:space="preserve">quality, with the quality determined by a number of factors including </w:t>
      </w:r>
      <w:r w:rsidR="00F2342B">
        <w:t xml:space="preserve">protein </w:t>
      </w:r>
      <w:r w:rsidR="00181EE0">
        <w:t>measurements</w:t>
      </w:r>
      <w:r w:rsidR="00F2342B">
        <w:t>.</w:t>
      </w:r>
    </w:p>
    <w:p w14:paraId="14B247E1" w14:textId="1A371C9F" w:rsidR="00274E17" w:rsidRDefault="00D27A4E" w:rsidP="00AA5D00">
      <w:r>
        <w:t xml:space="preserve">The way </w:t>
      </w:r>
      <w:r w:rsidR="00AB07D0">
        <w:t xml:space="preserve">the sale of </w:t>
      </w:r>
      <w:r>
        <w:t xml:space="preserve">meat is </w:t>
      </w:r>
      <w:r w:rsidR="00AB07D0">
        <w:t>treated by the Act and NTMR</w:t>
      </w:r>
      <w:r>
        <w:t xml:space="preserve"> creates confusion</w:t>
      </w:r>
      <w:r w:rsidR="0039100E">
        <w:t>, inconsistencies,</w:t>
      </w:r>
      <w:r>
        <w:t xml:space="preserve"> and </w:t>
      </w:r>
      <w:r w:rsidR="00540C41" w:rsidRPr="00A61DA8">
        <w:t xml:space="preserve">additional work for business </w:t>
      </w:r>
      <w:r>
        <w:t>in</w:t>
      </w:r>
      <w:r w:rsidR="00540C41" w:rsidRPr="00A61DA8">
        <w:t xml:space="preserve"> interpreting their </w:t>
      </w:r>
      <w:r>
        <w:t xml:space="preserve">regulatory </w:t>
      </w:r>
      <w:r w:rsidR="00540C41" w:rsidRPr="00A61DA8">
        <w:t>obligations</w:t>
      </w:r>
      <w:r w:rsidR="00327BFC">
        <w:t>.</w:t>
      </w:r>
      <w:r>
        <w:t xml:space="preserve"> </w:t>
      </w:r>
      <w:r w:rsidR="00327BFC">
        <w:t>H</w:t>
      </w:r>
      <w:r>
        <w:t>owever</w:t>
      </w:r>
      <w:r w:rsidR="007F1E94">
        <w:t>,</w:t>
      </w:r>
      <w:r>
        <w:t xml:space="preserve"> it provides consumers with comparable information to help them make informed purchasing decisions in much the same way as unit pricing.</w:t>
      </w:r>
      <w:r w:rsidR="00F52710">
        <w:t xml:space="preserve"> </w:t>
      </w:r>
      <w:r w:rsidR="009D2B7A">
        <w:t xml:space="preserve">The reference to volume </w:t>
      </w:r>
      <w:r w:rsidR="00207B0E" w:rsidRPr="00A61DA8">
        <w:t>requirements for the sale of alcohol</w:t>
      </w:r>
      <w:r w:rsidR="00540C41" w:rsidRPr="00A61DA8">
        <w:t xml:space="preserve"> </w:t>
      </w:r>
      <w:r w:rsidR="009D2B7A">
        <w:t>appl</w:t>
      </w:r>
      <w:r w:rsidR="005B68A9">
        <w:t>ies</w:t>
      </w:r>
      <w:r w:rsidR="009D2B7A">
        <w:t xml:space="preserve"> </w:t>
      </w:r>
      <w:r w:rsidR="00540C41" w:rsidRPr="00A61DA8">
        <w:t>only</w:t>
      </w:r>
      <w:r w:rsidR="00C91382">
        <w:t xml:space="preserve"> to</w:t>
      </w:r>
      <w:r w:rsidR="00540C41" w:rsidRPr="00A61DA8">
        <w:t xml:space="preserve"> certain types of alcohol (excluding, for example, wine and </w:t>
      </w:r>
      <w:r w:rsidR="00C107C3">
        <w:t>c</w:t>
      </w:r>
      <w:r w:rsidR="00540C41" w:rsidRPr="00A61DA8">
        <w:t>ider)</w:t>
      </w:r>
      <w:r w:rsidR="009D2B7A">
        <w:t>.</w:t>
      </w:r>
      <w:r w:rsidR="00F52710">
        <w:t xml:space="preserve"> The requirements can be confusing for businesses and it is unclear whether they help inform consumer purchasing decisions as there is a lack of </w:t>
      </w:r>
      <w:r w:rsidR="003B558D">
        <w:t>consistency</w:t>
      </w:r>
      <w:r w:rsidR="00F52710">
        <w:t xml:space="preserve"> in the volume references used.</w:t>
      </w:r>
    </w:p>
    <w:p w14:paraId="37BCBC32" w14:textId="1CEB1DAC" w:rsidR="00274E17" w:rsidRPr="00E16DE8" w:rsidRDefault="0032648A" w:rsidP="00E16DE8">
      <w:pPr>
        <w:pStyle w:val="Heading5"/>
        <w:rPr>
          <w:rFonts w:eastAsia="MS PGothic"/>
        </w:rPr>
      </w:pPr>
      <w:r w:rsidRPr="00E16DE8">
        <w:rPr>
          <w:rFonts w:eastAsia="MS PGothic"/>
        </w:rPr>
        <w:t xml:space="preserve">Overseas </w:t>
      </w:r>
      <w:r w:rsidR="00274E17" w:rsidRPr="00E16DE8">
        <w:rPr>
          <w:rFonts w:eastAsia="MS PGothic"/>
        </w:rPr>
        <w:t>comparison:</w:t>
      </w:r>
    </w:p>
    <w:p w14:paraId="5E8C904C" w14:textId="760547BC" w:rsidR="00274E17" w:rsidRPr="002278B3" w:rsidRDefault="00274E17" w:rsidP="00274E17">
      <w:r w:rsidRPr="002278B3">
        <w:rPr>
          <w:b/>
        </w:rPr>
        <w:t>New Zealand</w:t>
      </w:r>
      <w:r w:rsidR="00FA2939">
        <w:t xml:space="preserve"> only </w:t>
      </w:r>
      <w:r w:rsidR="00311D2A">
        <w:t>prescribes</w:t>
      </w:r>
      <w:r w:rsidR="00FA2939">
        <w:t xml:space="preserve"> </w:t>
      </w:r>
      <w:r w:rsidRPr="002278B3">
        <w:t xml:space="preserve">‘solid fuel’ </w:t>
      </w:r>
      <w:r w:rsidR="00FA2939">
        <w:t xml:space="preserve">to be sold by reference to measurement, which </w:t>
      </w:r>
      <w:r w:rsidRPr="002278B3">
        <w:t>must be sold by weight</w:t>
      </w:r>
      <w:r w:rsidR="00044F27">
        <w:rPr>
          <w:rStyle w:val="FootnoteReference"/>
          <w:sz w:val="20"/>
          <w:szCs w:val="20"/>
        </w:rPr>
        <w:footnoteReference w:id="29"/>
      </w:r>
      <w:r w:rsidRPr="002278B3">
        <w:t>.</w:t>
      </w:r>
      <w:r w:rsidR="00311D2A">
        <w:t xml:space="preserve"> </w:t>
      </w:r>
      <w:r w:rsidR="002B4FFA">
        <w:t>A</w:t>
      </w:r>
      <w:r w:rsidR="00311D2A">
        <w:t xml:space="preserve">ll other </w:t>
      </w:r>
      <w:r w:rsidR="002B4FFA">
        <w:t>goods must be sold by net weight or measure</w:t>
      </w:r>
      <w:r w:rsidR="00801257">
        <w:rPr>
          <w:rStyle w:val="FootnoteReference"/>
          <w:sz w:val="20"/>
          <w:szCs w:val="20"/>
        </w:rPr>
        <w:footnoteReference w:id="30"/>
      </w:r>
      <w:r w:rsidR="002B4FFA">
        <w:t xml:space="preserve"> and advertised or exposed for sale using a unit of measurement of the metric system</w:t>
      </w:r>
      <w:r w:rsidR="00801257">
        <w:rPr>
          <w:rStyle w:val="FootnoteReference"/>
          <w:sz w:val="20"/>
          <w:szCs w:val="20"/>
        </w:rPr>
        <w:footnoteReference w:id="31"/>
      </w:r>
      <w:r w:rsidR="002B4FFA">
        <w:t>.</w:t>
      </w:r>
      <w:r w:rsidR="00311D2A">
        <w:t>Packaged food products must be marked with a quantity statement</w:t>
      </w:r>
      <w:r w:rsidR="007240A0">
        <w:rPr>
          <w:rStyle w:val="FootnoteReference"/>
          <w:sz w:val="20"/>
          <w:szCs w:val="20"/>
        </w:rPr>
        <w:footnoteReference w:id="32"/>
      </w:r>
      <w:r w:rsidR="00311D2A">
        <w:t>.</w:t>
      </w:r>
    </w:p>
    <w:p w14:paraId="51888E0C" w14:textId="3BBF7461" w:rsidR="00274E17" w:rsidRPr="002278B3" w:rsidRDefault="00274E17" w:rsidP="00274E17">
      <w:r w:rsidRPr="002278B3">
        <w:rPr>
          <w:b/>
        </w:rPr>
        <w:t>Canada</w:t>
      </w:r>
      <w:r w:rsidRPr="002278B3">
        <w:t xml:space="preserve"> has no requirement for </w:t>
      </w:r>
      <w:r w:rsidR="004A360E">
        <w:t xml:space="preserve">specific </w:t>
      </w:r>
      <w:r w:rsidRPr="002278B3">
        <w:t xml:space="preserve">commodities to be sold by measurement, but where </w:t>
      </w:r>
      <w:r w:rsidR="004A360E">
        <w:t xml:space="preserve">products and services are traded on the basis of </w:t>
      </w:r>
      <w:r w:rsidRPr="002278B3">
        <w:t xml:space="preserve">measurement </w:t>
      </w:r>
      <w:r w:rsidR="00433F26">
        <w:t>they</w:t>
      </w:r>
      <w:r w:rsidRPr="002278B3">
        <w:t xml:space="preserve"> must be </w:t>
      </w:r>
      <w:r w:rsidR="004A360E">
        <w:t>measured, priced and labelled accurately</w:t>
      </w:r>
      <w:r w:rsidR="00433F26">
        <w:rPr>
          <w:rStyle w:val="FootnoteReference"/>
          <w:sz w:val="20"/>
          <w:szCs w:val="20"/>
        </w:rPr>
        <w:footnoteReference w:id="33"/>
      </w:r>
      <w:r w:rsidRPr="002278B3">
        <w:t>.</w:t>
      </w:r>
    </w:p>
    <w:p w14:paraId="7EBE4569" w14:textId="502FC456" w:rsidR="00274E17" w:rsidRPr="002278B3" w:rsidRDefault="00274E17" w:rsidP="00274E17">
      <w:r w:rsidRPr="002278B3">
        <w:t xml:space="preserve">The </w:t>
      </w:r>
      <w:r w:rsidRPr="002278B3">
        <w:rPr>
          <w:b/>
        </w:rPr>
        <w:t>United Kingdom</w:t>
      </w:r>
      <w:r w:rsidRPr="002278B3">
        <w:t xml:space="preserve"> prescribes </w:t>
      </w:r>
      <w:r w:rsidR="00AF29CD">
        <w:t xml:space="preserve">that </w:t>
      </w:r>
      <w:r w:rsidRPr="002278B3">
        <w:t>some goods, including alcohol and solid fuel, must be sold in fixed sizes (‘specified quantities’), for example draught beer sold by pint</w:t>
      </w:r>
      <w:r w:rsidR="00553701">
        <w:rPr>
          <w:rStyle w:val="FootnoteReference"/>
          <w:sz w:val="20"/>
          <w:szCs w:val="20"/>
        </w:rPr>
        <w:footnoteReference w:id="34"/>
      </w:r>
      <w:r w:rsidRPr="002278B3">
        <w:t>.</w:t>
      </w:r>
    </w:p>
    <w:p w14:paraId="6479D24A" w14:textId="64450A58" w:rsidR="00274E17" w:rsidRPr="002278B3" w:rsidRDefault="00274E17" w:rsidP="00274E17">
      <w:r w:rsidRPr="002278B3">
        <w:rPr>
          <w:b/>
        </w:rPr>
        <w:t>Japan</w:t>
      </w:r>
      <w:r w:rsidRPr="002278B3">
        <w:t xml:space="preserve"> </w:t>
      </w:r>
      <w:r w:rsidR="006653CD" w:rsidRPr="002278B3">
        <w:t>p</w:t>
      </w:r>
      <w:r w:rsidR="006653CD">
        <w:t>laces controls on certain consumer goods</w:t>
      </w:r>
      <w:r w:rsidR="00D94ED4">
        <w:t xml:space="preserve"> </w:t>
      </w:r>
      <w:r w:rsidR="006653CD">
        <w:t>(referred to as</w:t>
      </w:r>
      <w:r w:rsidRPr="002278B3">
        <w:t xml:space="preserve"> ‘specified goods’</w:t>
      </w:r>
      <w:r w:rsidR="006653CD">
        <w:t>)</w:t>
      </w:r>
      <w:r w:rsidRPr="002278B3">
        <w:t xml:space="preserve"> that </w:t>
      </w:r>
      <w:r w:rsidR="003B20B8">
        <w:t>are required</w:t>
      </w:r>
      <w:r w:rsidRPr="002278B3">
        <w:t xml:space="preserve"> to indicate the net content by weight o</w:t>
      </w:r>
      <w:r w:rsidR="003B20B8">
        <w:t>r</w:t>
      </w:r>
      <w:r w:rsidRPr="002278B3">
        <w:t xml:space="preserve"> volume</w:t>
      </w:r>
      <w:r w:rsidR="006653CD">
        <w:rPr>
          <w:rStyle w:val="FootnoteReference"/>
          <w:sz w:val="20"/>
          <w:szCs w:val="20"/>
        </w:rPr>
        <w:footnoteReference w:id="35"/>
      </w:r>
      <w:r w:rsidRPr="002278B3">
        <w:t>.</w:t>
      </w:r>
    </w:p>
    <w:p w14:paraId="27C45C2A" w14:textId="031F033C" w:rsidR="00B62BCE" w:rsidRPr="00A61DA8" w:rsidRDefault="00274E17" w:rsidP="00274E17">
      <w:r w:rsidRPr="002278B3">
        <w:rPr>
          <w:b/>
        </w:rPr>
        <w:t>Singapore</w:t>
      </w:r>
      <w:r w:rsidRPr="002278B3">
        <w:t xml:space="preserve"> </w:t>
      </w:r>
      <w:r w:rsidR="008D2AF6">
        <w:t>requires goods, when sold by measurement, are advertised, displayed or exposed for sale in a unit of measurement of the metric system</w:t>
      </w:r>
      <w:r w:rsidR="008D2AF6">
        <w:rPr>
          <w:rStyle w:val="FootnoteReference"/>
          <w:sz w:val="20"/>
          <w:szCs w:val="20"/>
        </w:rPr>
        <w:footnoteReference w:id="36"/>
      </w:r>
      <w:r w:rsidR="008D2AF6">
        <w:t xml:space="preserve">. There are also </w:t>
      </w:r>
      <w:r w:rsidR="0063549F">
        <w:t xml:space="preserve">certain </w:t>
      </w:r>
      <w:r w:rsidR="0063549F">
        <w:lastRenderedPageBreak/>
        <w:t xml:space="preserve">goods </w:t>
      </w:r>
      <w:r w:rsidR="008D2AF6">
        <w:t xml:space="preserve">that </w:t>
      </w:r>
      <w:r w:rsidR="0063549F">
        <w:t>must be sold by a weight or measure of the metric system and at a price expressed by reference to a prescribed metric quantity, including textiles, groceries, pasta, meat, fish, fruit and vegetables</w:t>
      </w:r>
      <w:r w:rsidR="004C6C2B">
        <w:rPr>
          <w:rStyle w:val="FootnoteReference"/>
          <w:sz w:val="20"/>
          <w:szCs w:val="20"/>
        </w:rPr>
        <w:footnoteReference w:id="37"/>
      </w:r>
      <w:r w:rsidR="0063549F">
        <w:t>.</w:t>
      </w:r>
    </w:p>
    <w:p w14:paraId="33108316" w14:textId="78DF70CB" w:rsidR="00207B0E" w:rsidRPr="00E1462D" w:rsidRDefault="00207B0E" w:rsidP="008E27C5">
      <w:pPr>
        <w:pStyle w:val="Heading5"/>
        <w:rPr>
          <w:rFonts w:ascii="Arial" w:eastAsia="MS PGothic" w:hAnsi="Arial" w:cs="Times New Roman"/>
          <w:b/>
          <w:bCs/>
          <w:i/>
          <w:iCs/>
          <w:color w:val="005677"/>
        </w:rPr>
      </w:pPr>
      <w:r w:rsidRPr="00E1462D">
        <w:rPr>
          <w:rFonts w:eastAsia="MS PGothic"/>
        </w:rPr>
        <w:t>Questions</w:t>
      </w:r>
      <w:r w:rsidR="00F31857">
        <w:rPr>
          <w:rFonts w:eastAsia="MS PGothic"/>
        </w:rPr>
        <w:t>:</w:t>
      </w:r>
    </w:p>
    <w:p w14:paraId="4F6E0490" w14:textId="03285F88" w:rsidR="00DD6B35" w:rsidRPr="008D7E58" w:rsidRDefault="00207B0E" w:rsidP="008D7E58">
      <w:pPr>
        <w:pStyle w:val="ListParagraph"/>
        <w:numPr>
          <w:ilvl w:val="2"/>
          <w:numId w:val="61"/>
        </w:numPr>
        <w:rPr>
          <w:rFonts w:cstheme="minorHAnsi"/>
        </w:rPr>
      </w:pPr>
      <w:r w:rsidRPr="008D7E58">
        <w:rPr>
          <w:rFonts w:cstheme="minorHAnsi"/>
        </w:rPr>
        <w:t xml:space="preserve">Are the current requirements for certain </w:t>
      </w:r>
      <w:r w:rsidR="00E116B5" w:rsidRPr="008D7E58">
        <w:rPr>
          <w:rFonts w:cstheme="minorHAnsi"/>
        </w:rPr>
        <w:t xml:space="preserve">goods </w:t>
      </w:r>
      <w:r w:rsidRPr="008D7E58">
        <w:rPr>
          <w:rFonts w:cstheme="minorHAnsi"/>
        </w:rPr>
        <w:t xml:space="preserve">to be sold by reference to measurement </w:t>
      </w:r>
      <w:r w:rsidR="00806D76" w:rsidRPr="008D7E58">
        <w:rPr>
          <w:rFonts w:cstheme="minorHAnsi"/>
        </w:rPr>
        <w:t>appropriate</w:t>
      </w:r>
      <w:r w:rsidRPr="008D7E58">
        <w:rPr>
          <w:rFonts w:cstheme="minorHAnsi"/>
        </w:rPr>
        <w:t xml:space="preserve">? </w:t>
      </w:r>
      <w:r w:rsidR="001E2279" w:rsidRPr="008D7E58">
        <w:rPr>
          <w:rFonts w:cstheme="minorHAnsi"/>
        </w:rPr>
        <w:t xml:space="preserve">If not, how could </w:t>
      </w:r>
      <w:r w:rsidR="00723833" w:rsidRPr="008D7E58">
        <w:rPr>
          <w:rFonts w:cstheme="minorHAnsi"/>
        </w:rPr>
        <w:t xml:space="preserve">the </w:t>
      </w:r>
      <w:r w:rsidR="001E2279" w:rsidRPr="008D7E58">
        <w:rPr>
          <w:rFonts w:cstheme="minorHAnsi"/>
        </w:rPr>
        <w:t xml:space="preserve">current arrangements be </w:t>
      </w:r>
      <w:r w:rsidR="00723833" w:rsidRPr="008D7E58">
        <w:rPr>
          <w:rFonts w:cstheme="minorHAnsi"/>
        </w:rPr>
        <w:t>improved</w:t>
      </w:r>
      <w:r w:rsidR="001E2279" w:rsidRPr="008D7E58">
        <w:rPr>
          <w:rFonts w:cstheme="minorHAnsi"/>
        </w:rPr>
        <w:t>?</w:t>
      </w:r>
    </w:p>
    <w:p w14:paraId="3503A780" w14:textId="77777777" w:rsidR="008C5F5B" w:rsidRDefault="008C5F5B" w:rsidP="00D204AD">
      <w:pPr>
        <w:pStyle w:val="ListParagraph"/>
      </w:pPr>
    </w:p>
    <w:p w14:paraId="208A33D0" w14:textId="197A835B" w:rsidR="008C5F5B" w:rsidRPr="0020329C" w:rsidRDefault="009B7245" w:rsidP="00D204AD">
      <w:pPr>
        <w:pStyle w:val="ListParagraph"/>
        <w:ind w:firstLine="720"/>
      </w:pPr>
      <w:r w:rsidRPr="0020329C">
        <w:t>In</w:t>
      </w:r>
      <w:r w:rsidR="00036D5E" w:rsidRPr="0020329C">
        <w:t xml:space="preserve"> responding to this question you may wish to consider:</w:t>
      </w:r>
    </w:p>
    <w:p w14:paraId="251FD249" w14:textId="439DDEC6" w:rsidR="008C5F5B" w:rsidRDefault="00036D5E" w:rsidP="00D97FC5">
      <w:pPr>
        <w:pStyle w:val="ListParagraph"/>
        <w:numPr>
          <w:ilvl w:val="0"/>
          <w:numId w:val="52"/>
        </w:numPr>
        <w:ind w:left="2160"/>
      </w:pPr>
      <w:r>
        <w:t>whether it is appropriate to prescribe in law how certain goods should be sold</w:t>
      </w:r>
    </w:p>
    <w:p w14:paraId="0B03875A" w14:textId="1A7825ED" w:rsidR="008C5F5B" w:rsidRDefault="00036D5E" w:rsidP="00D204AD">
      <w:pPr>
        <w:pStyle w:val="ListParagraph"/>
        <w:numPr>
          <w:ilvl w:val="0"/>
          <w:numId w:val="52"/>
        </w:numPr>
        <w:ind w:left="2160"/>
      </w:pPr>
      <w:r>
        <w:t>what alternative approaches exist that provide greater flexibility</w:t>
      </w:r>
      <w:r w:rsidR="00885C97">
        <w:t>,</w:t>
      </w:r>
      <w:r w:rsidR="00651367">
        <w:t xml:space="preserve"> and</w:t>
      </w:r>
    </w:p>
    <w:p w14:paraId="4BF09020" w14:textId="7D52A3FE" w:rsidR="00036D5E" w:rsidRPr="002278B3" w:rsidRDefault="00036D5E" w:rsidP="00D204AD">
      <w:pPr>
        <w:pStyle w:val="ListParagraph"/>
        <w:numPr>
          <w:ilvl w:val="0"/>
          <w:numId w:val="52"/>
        </w:numPr>
        <w:ind w:left="2160"/>
      </w:pPr>
      <w:r>
        <w:t>what information consumers need to make informed purchasing decisions.</w:t>
      </w:r>
    </w:p>
    <w:p w14:paraId="638BC5A5" w14:textId="60B74F7A" w:rsidR="00B62BCE" w:rsidRDefault="00B62BCE" w:rsidP="00AA5D00"/>
    <w:p w14:paraId="129565C1" w14:textId="77777777" w:rsidR="00143D5E" w:rsidRDefault="00143D5E">
      <w:pPr>
        <w:rPr>
          <w:rFonts w:asciiTheme="majorHAnsi" w:eastAsiaTheme="majorEastAsia" w:hAnsiTheme="majorHAnsi" w:cstheme="majorBidi"/>
          <w:color w:val="2E74B5" w:themeColor="accent1" w:themeShade="BF"/>
          <w:sz w:val="32"/>
          <w:szCs w:val="32"/>
        </w:rPr>
      </w:pPr>
      <w:bookmarkStart w:id="21" w:name="_Toc536700735"/>
      <w:bookmarkStart w:id="22" w:name="_Toc3461892"/>
      <w:r>
        <w:br w:type="page"/>
      </w:r>
    </w:p>
    <w:p w14:paraId="2DA42C9D" w14:textId="28C41B6A" w:rsidR="007335A1" w:rsidRPr="008D7E58" w:rsidRDefault="00327E68" w:rsidP="008D7E58">
      <w:pPr>
        <w:pStyle w:val="Heading1"/>
        <w:numPr>
          <w:ilvl w:val="0"/>
          <w:numId w:val="61"/>
        </w:numPr>
      </w:pPr>
      <w:r w:rsidRPr="008D7E58">
        <w:lastRenderedPageBreak/>
        <w:t xml:space="preserve">Sale of </w:t>
      </w:r>
      <w:r w:rsidR="00323E53" w:rsidRPr="008D7E58">
        <w:t>Pa</w:t>
      </w:r>
      <w:r w:rsidR="00540C41" w:rsidRPr="008D7E58">
        <w:t>ckaged Goods</w:t>
      </w:r>
      <w:bookmarkEnd w:id="21"/>
      <w:r w:rsidR="008D7E58" w:rsidRPr="008D7E58">
        <w:t xml:space="preserve"> – Type and Units of Measure</w:t>
      </w:r>
      <w:bookmarkEnd w:id="22"/>
    </w:p>
    <w:p w14:paraId="4B9FA1C8" w14:textId="08449E36" w:rsidR="002205EB" w:rsidRPr="002205EB" w:rsidRDefault="002205EB" w:rsidP="002205EB">
      <w:bookmarkStart w:id="23" w:name="_Toc3461893"/>
      <w:r w:rsidRPr="008D7E58">
        <w:rPr>
          <w:noProof/>
          <w:lang w:eastAsia="en-AU"/>
        </w:rPr>
        <mc:AlternateContent>
          <mc:Choice Requires="wps">
            <w:drawing>
              <wp:inline distT="0" distB="0" distL="0" distR="0" wp14:anchorId="094668E0" wp14:editId="06C77600">
                <wp:extent cx="5731510" cy="1008609"/>
                <wp:effectExtent l="0" t="0" r="0" b="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1510" cy="1008609"/>
                        </a:xfrm>
                        <a:prstGeom prst="rect">
                          <a:avLst/>
                        </a:prstGeom>
                        <a:noFill/>
                        <a:ln w="9525">
                          <a:noFill/>
                          <a:miter lim="800000"/>
                          <a:headEnd/>
                          <a:tailEnd/>
                        </a:ln>
                      </wps:spPr>
                      <wps:txbx>
                        <w:txbxContent>
                          <w:p w14:paraId="603E5735" w14:textId="77777777" w:rsidR="002205EB" w:rsidRPr="005B5A25" w:rsidRDefault="002205EB" w:rsidP="002205EB">
                            <w:pPr>
                              <w:pBdr>
                                <w:top w:val="single" w:sz="24" w:space="8" w:color="5B9BD5" w:themeColor="accent1"/>
                                <w:bottom w:val="single" w:sz="24" w:space="8" w:color="5B9BD5" w:themeColor="accent1"/>
                              </w:pBdr>
                              <w:spacing w:after="0"/>
                              <w:rPr>
                                <w:b/>
                                <w:color w:val="5B9BD5" w:themeColor="accent1"/>
                                <w:sz w:val="20"/>
                                <w:szCs w:val="20"/>
                              </w:rPr>
                            </w:pPr>
                            <w:r w:rsidRPr="005B5A25">
                              <w:rPr>
                                <w:b/>
                                <w:color w:val="5B9BD5" w:themeColor="accent1"/>
                                <w:sz w:val="20"/>
                                <w:szCs w:val="20"/>
                              </w:rPr>
                              <w:t xml:space="preserve">In 2015, the Australian Government commenced a review of Part 4 of the </w:t>
                            </w:r>
                            <w:r w:rsidRPr="005B5A25">
                              <w:rPr>
                                <w:b/>
                                <w:i/>
                                <w:color w:val="5B9BD5" w:themeColor="accent1"/>
                                <w:sz w:val="20"/>
                                <w:szCs w:val="20"/>
                              </w:rPr>
                              <w:t>National Trade Measurement Regulations 2009</w:t>
                            </w:r>
                            <w:r w:rsidRPr="005B5A25">
                              <w:rPr>
                                <w:b/>
                                <w:color w:val="5B9BD5" w:themeColor="accent1"/>
                                <w:sz w:val="20"/>
                                <w:szCs w:val="20"/>
                              </w:rPr>
                              <w:t xml:space="preserve"> (Part 4). Part 4 predominantly relates to the measurement marking on packaging. The reform options for Part 4 will be incorporated into the broader options developed as part of the Measurement Law Review.</w:t>
                            </w:r>
                          </w:p>
                        </w:txbxContent>
                      </wps:txbx>
                      <wps:bodyPr rot="0" vert="horz" wrap="square" lIns="91440" tIns="45720" rIns="91440" bIns="45720" anchor="t" anchorCtr="0">
                        <a:spAutoFit/>
                      </wps:bodyPr>
                    </wps:wsp>
                  </a:graphicData>
                </a:graphic>
              </wp:inline>
            </w:drawing>
          </mc:Choice>
          <mc:Fallback>
            <w:pict>
              <v:shapetype w14:anchorId="094668E0" id="_x0000_t202" coordsize="21600,21600" o:spt="202" path="m,l,21600r21600,l21600,xe">
                <v:stroke joinstyle="miter"/>
                <v:path gradientshapeok="t" o:connecttype="rect"/>
              </v:shapetype>
              <v:shape id="Text Box 4" o:spid="_x0000_s1026" type="#_x0000_t202" style="width:451.3pt;height:79.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" filled="f" stroked="f">
                <v:textbox style="mso-fit-shape-to-text:t">
                  <w:txbxContent>
                    <w:p w14:paraId="603E5735" w14:textId="77777777" w:rsidR="002205EB" w:rsidRPr="005B5A25" w:rsidRDefault="002205EB" w:rsidP="002205EB">
                      <w:pPr>
                        <w:pBdr>
                          <w:top w:val="single" w:sz="24" w:space="8" w:color="5B9BD5" w:themeColor="accent1"/>
                          <w:bottom w:val="single" w:sz="24" w:space="8" w:color="5B9BD5" w:themeColor="accent1"/>
                        </w:pBdr>
                        <w:spacing w:after="0"/>
                        <w:rPr>
                          <w:b/>
                          <w:color w:val="5B9BD5" w:themeColor="accent1"/>
                          <w:sz w:val="20"/>
                          <w:szCs w:val="20"/>
                        </w:rPr>
                      </w:pPr>
                      <w:r w:rsidRPr="005B5A25">
                        <w:rPr>
                          <w:b/>
                          <w:color w:val="5B9BD5" w:themeColor="accent1"/>
                          <w:sz w:val="20"/>
                          <w:szCs w:val="20"/>
                        </w:rPr>
                        <w:t xml:space="preserve">In 2015, the Australian Government commenced a review of Part 4 of the </w:t>
                      </w:r>
                      <w:r w:rsidRPr="005B5A25">
                        <w:rPr>
                          <w:b/>
                          <w:i/>
                          <w:color w:val="5B9BD5" w:themeColor="accent1"/>
                          <w:sz w:val="20"/>
                          <w:szCs w:val="20"/>
                        </w:rPr>
                        <w:t>National Trade Measurement Regulations 2009</w:t>
                      </w:r>
                      <w:r w:rsidRPr="005B5A25">
                        <w:rPr>
                          <w:b/>
                          <w:color w:val="5B9BD5" w:themeColor="accent1"/>
                          <w:sz w:val="20"/>
                          <w:szCs w:val="20"/>
                        </w:rPr>
                        <w:t xml:space="preserve"> (Part 4). Part 4 predominantly relates to the measurement marking on packaging. The reform options for Part 4 will be incorporated into the broader options developed as part of the Measurement Law Review.</w:t>
                      </w:r>
                    </w:p>
                  </w:txbxContent>
                </v:textbox>
                <w10:anchorlock/>
              </v:shape>
            </w:pict>
          </mc:Fallback>
        </mc:AlternateContent>
      </w:r>
    </w:p>
    <w:p w14:paraId="6B7F84F1" w14:textId="7F5E5C3E" w:rsidR="00A10C05" w:rsidRPr="008D7E58" w:rsidRDefault="00D97FC5" w:rsidP="008D7E58">
      <w:pPr>
        <w:pStyle w:val="Heading2"/>
        <w:numPr>
          <w:ilvl w:val="1"/>
          <w:numId w:val="61"/>
        </w:numPr>
        <w:ind w:left="720" w:hanging="720"/>
      </w:pPr>
      <w:r w:rsidRPr="008D7E58" w:rsidDel="005C7CAD">
        <w:t>Current Approach</w:t>
      </w:r>
      <w:bookmarkEnd w:id="23"/>
      <w:r w:rsidRPr="008D7E58">
        <w:t xml:space="preserve"> </w:t>
      </w:r>
    </w:p>
    <w:p w14:paraId="0B46A31F" w14:textId="4F2076EE" w:rsidR="000D5324" w:rsidRDefault="008F3D70" w:rsidP="000D5324">
      <w:r>
        <w:t xml:space="preserve">Packaged </w:t>
      </w:r>
      <w:r w:rsidR="003B558D">
        <w:t>goods must</w:t>
      </w:r>
      <w:r w:rsidR="00773DAF" w:rsidRPr="002278B3">
        <w:t xml:space="preserve"> be </w:t>
      </w:r>
      <w:r w:rsidR="00971C98" w:rsidRPr="002278B3">
        <w:t>marked with a measurement statement</w:t>
      </w:r>
      <w:r w:rsidR="00971C98" w:rsidRPr="002278B3">
        <w:rPr>
          <w:rStyle w:val="FootnoteReference"/>
          <w:sz w:val="20"/>
          <w:szCs w:val="20"/>
        </w:rPr>
        <w:footnoteReference w:id="38"/>
      </w:r>
      <w:r w:rsidR="00971C98" w:rsidRPr="002278B3">
        <w:t xml:space="preserve"> </w:t>
      </w:r>
      <w:r w:rsidR="005404CE">
        <w:t>consistent with</w:t>
      </w:r>
      <w:r w:rsidR="00971C98" w:rsidRPr="002278B3">
        <w:t xml:space="preserve"> specific </w:t>
      </w:r>
      <w:r w:rsidR="00C71245">
        <w:t xml:space="preserve">types and </w:t>
      </w:r>
      <w:r w:rsidR="00971C98" w:rsidRPr="002278B3">
        <w:t>units of measure</w:t>
      </w:r>
      <w:r w:rsidR="009F7A4B">
        <w:t>ment</w:t>
      </w:r>
      <w:r w:rsidR="00A66EB3" w:rsidRPr="002278B3">
        <w:rPr>
          <w:rStyle w:val="FootnoteReference"/>
          <w:sz w:val="20"/>
          <w:szCs w:val="20"/>
        </w:rPr>
        <w:footnoteReference w:id="39"/>
      </w:r>
      <w:r w:rsidR="00D30A94">
        <w:t>.</w:t>
      </w:r>
      <w:r w:rsidR="00971C98" w:rsidRPr="002278B3">
        <w:t xml:space="preserve"> </w:t>
      </w:r>
      <w:r w:rsidR="00B04633">
        <w:t>Most packaged goods must be</w:t>
      </w:r>
      <w:r w:rsidR="00F16276">
        <w:t xml:space="preserve"> sold by volume if liquid or by</w:t>
      </w:r>
      <w:r w:rsidR="00B04633">
        <w:t xml:space="preserve"> weight if solid, semi-sold or partly solid and partly liquid. </w:t>
      </w:r>
      <w:r w:rsidR="000D5324">
        <w:t>For example, packaged apple juice needs to be sold by volume, because it is a liquid, and can be measured in:</w:t>
      </w:r>
    </w:p>
    <w:p w14:paraId="21F9CFD5" w14:textId="31B3DC58" w:rsidR="000D5324" w:rsidRDefault="000D5324" w:rsidP="00D97FC5">
      <w:pPr>
        <w:pStyle w:val="ListParagraph"/>
        <w:numPr>
          <w:ilvl w:val="0"/>
          <w:numId w:val="52"/>
        </w:numPr>
      </w:pPr>
      <w:r>
        <w:t>li</w:t>
      </w:r>
      <w:r w:rsidR="00CA3790">
        <w:t>tres, decilitres or centilitres,</w:t>
      </w:r>
      <w:r w:rsidR="00672424">
        <w:t xml:space="preserve"> or</w:t>
      </w:r>
    </w:p>
    <w:p w14:paraId="161BF0A3" w14:textId="2DABEB65" w:rsidR="008853FC" w:rsidRPr="00E704FE" w:rsidRDefault="000D5324" w:rsidP="00D97FC5">
      <w:pPr>
        <w:pStyle w:val="ListParagraph"/>
        <w:numPr>
          <w:ilvl w:val="0"/>
          <w:numId w:val="52"/>
        </w:numPr>
      </w:pPr>
      <w:r>
        <w:t>millilitres for amounts less than a litre</w:t>
      </w:r>
      <w:r>
        <w:rPr>
          <w:rStyle w:val="FootnoteReference"/>
          <w:sz w:val="20"/>
          <w:szCs w:val="20"/>
        </w:rPr>
        <w:footnoteReference w:id="40"/>
      </w:r>
      <w:r>
        <w:t>.</w:t>
      </w:r>
    </w:p>
    <w:p w14:paraId="71AFB3DC" w14:textId="3D289114" w:rsidR="005F4888" w:rsidRDefault="005B5A25" w:rsidP="00AA5D00">
      <w:r>
        <w:t>However</w:t>
      </w:r>
      <w:r w:rsidR="002E17BE">
        <w:t>, s</w:t>
      </w:r>
      <w:r w:rsidR="00737AE1">
        <w:t xml:space="preserve">ome </w:t>
      </w:r>
      <w:r w:rsidR="00971C98" w:rsidRPr="002278B3">
        <w:t>packaged solid goods may be sold by number</w:t>
      </w:r>
      <w:r w:rsidR="005404CE">
        <w:t xml:space="preserve"> (count)</w:t>
      </w:r>
      <w:r w:rsidR="00971C98" w:rsidRPr="002278B3">
        <w:t>, linear or area measurement</w:t>
      </w:r>
      <w:r w:rsidR="00F272F3">
        <w:t>,</w:t>
      </w:r>
      <w:r w:rsidR="00971C98" w:rsidRPr="002278B3">
        <w:t xml:space="preserve"> as opposed to </w:t>
      </w:r>
      <w:r w:rsidR="00074CBF">
        <w:t xml:space="preserve">weight </w:t>
      </w:r>
      <w:r w:rsidR="005404CE">
        <w:t>or volume</w:t>
      </w:r>
      <w:r w:rsidR="00A66EB3" w:rsidRPr="002278B3">
        <w:rPr>
          <w:rStyle w:val="FootnoteReference"/>
          <w:sz w:val="20"/>
          <w:szCs w:val="20"/>
        </w:rPr>
        <w:footnoteReference w:id="41"/>
      </w:r>
      <w:r w:rsidR="00971C98" w:rsidRPr="002278B3">
        <w:t xml:space="preserve">. A list of these </w:t>
      </w:r>
      <w:r w:rsidR="005D728E">
        <w:t>goods</w:t>
      </w:r>
      <w:r w:rsidR="005D728E" w:rsidRPr="002278B3">
        <w:t xml:space="preserve"> </w:t>
      </w:r>
      <w:r w:rsidR="00971C98" w:rsidRPr="002278B3">
        <w:t xml:space="preserve">is available on the </w:t>
      </w:r>
      <w:hyperlink r:id="rId20" w:history="1">
        <w:r w:rsidR="00971C98" w:rsidRPr="00D97FC5">
          <w:rPr>
            <w:rStyle w:val="Hyperlink"/>
            <w:szCs w:val="20"/>
          </w:rPr>
          <w:t>NMI’s website</w:t>
        </w:r>
      </w:hyperlink>
      <w:r w:rsidR="00971C98" w:rsidRPr="002278B3">
        <w:t>.</w:t>
      </w:r>
      <w:r w:rsidR="00F65453">
        <w:rPr>
          <w:rStyle w:val="FootnoteReference"/>
          <w:sz w:val="20"/>
          <w:szCs w:val="20"/>
        </w:rPr>
        <w:footnoteReference w:id="42"/>
      </w:r>
      <w:r w:rsidR="00F937DF">
        <w:t xml:space="preserve"> </w:t>
      </w:r>
      <w:r w:rsidR="00C71245">
        <w:t>Where goods are included in this list</w:t>
      </w:r>
      <w:r w:rsidR="005F4888">
        <w:t>, t</w:t>
      </w:r>
      <w:r w:rsidR="00BC4194" w:rsidRPr="002278B3">
        <w:t xml:space="preserve">raders have the option to choose the </w:t>
      </w:r>
      <w:r w:rsidR="00C71245">
        <w:t>type</w:t>
      </w:r>
      <w:r w:rsidR="00C71245" w:rsidRPr="002278B3">
        <w:t xml:space="preserve"> </w:t>
      </w:r>
      <w:r w:rsidR="00BC4194" w:rsidRPr="002278B3">
        <w:t>of measurement with which to mark</w:t>
      </w:r>
      <w:r w:rsidR="00FF1902">
        <w:t xml:space="preserve"> </w:t>
      </w:r>
      <w:r w:rsidR="005F4888">
        <w:t>them</w:t>
      </w:r>
      <w:r w:rsidR="00FF1902">
        <w:t>,</w:t>
      </w:r>
      <w:r w:rsidR="00BC4194" w:rsidRPr="002278B3">
        <w:t xml:space="preserve"> for example </w:t>
      </w:r>
      <w:r w:rsidR="00E55FF3">
        <w:t>packaged cucumbers</w:t>
      </w:r>
      <w:r w:rsidR="00E55FF3" w:rsidRPr="002278B3">
        <w:t xml:space="preserve"> </w:t>
      </w:r>
      <w:r w:rsidR="00BC4194" w:rsidRPr="002278B3">
        <w:t xml:space="preserve">can be sold by </w:t>
      </w:r>
      <w:r w:rsidR="00FF1902">
        <w:t>weight</w:t>
      </w:r>
      <w:r w:rsidR="00FF1902" w:rsidRPr="002278B3">
        <w:t xml:space="preserve"> </w:t>
      </w:r>
      <w:r w:rsidR="00BC4194" w:rsidRPr="002278B3">
        <w:t>or number</w:t>
      </w:r>
      <w:r w:rsidR="00232C24">
        <w:t xml:space="preserve"> (count)</w:t>
      </w:r>
      <w:r w:rsidR="00BC4194" w:rsidRPr="002278B3">
        <w:t>.</w:t>
      </w:r>
    </w:p>
    <w:p w14:paraId="5A32C11F" w14:textId="642AAEBF" w:rsidR="000D5324" w:rsidRDefault="00C71245" w:rsidP="000D5324">
      <w:r>
        <w:t xml:space="preserve">There are also </w:t>
      </w:r>
      <w:r w:rsidR="00012969">
        <w:t>some</w:t>
      </w:r>
      <w:r>
        <w:t xml:space="preserve"> packaged goods that must be marked with a specific type</w:t>
      </w:r>
      <w:r w:rsidR="00251D2B">
        <w:t xml:space="preserve"> and unit</w:t>
      </w:r>
      <w:r>
        <w:t xml:space="preserve"> of measurement</w:t>
      </w:r>
      <w:r>
        <w:rPr>
          <w:rStyle w:val="FootnoteReference"/>
          <w:sz w:val="20"/>
          <w:szCs w:val="20"/>
        </w:rPr>
        <w:footnoteReference w:id="43"/>
      </w:r>
      <w:r w:rsidR="00012969">
        <w:t>.</w:t>
      </w:r>
      <w:r w:rsidR="00A86B15">
        <w:t xml:space="preserve"> </w:t>
      </w:r>
      <w:r w:rsidR="000D5324">
        <w:t>F</w:t>
      </w:r>
      <w:r w:rsidR="000D5324" w:rsidRPr="002278B3">
        <w:t>or example</w:t>
      </w:r>
      <w:r w:rsidR="000D5324">
        <w:t>, honey needs to be sold by weight and can be measured in:</w:t>
      </w:r>
    </w:p>
    <w:p w14:paraId="6827A803" w14:textId="547EC3AE" w:rsidR="000D5324" w:rsidRDefault="000D5324" w:rsidP="00D97FC5">
      <w:pPr>
        <w:pStyle w:val="ListParagraph"/>
        <w:numPr>
          <w:ilvl w:val="0"/>
          <w:numId w:val="53"/>
        </w:numPr>
      </w:pPr>
      <w:r w:rsidRPr="00051283">
        <w:t>kilograms</w:t>
      </w:r>
      <w:r>
        <w:t xml:space="preserve"> for any amount</w:t>
      </w:r>
    </w:p>
    <w:p w14:paraId="54656E8E" w14:textId="0766F211" w:rsidR="000D5324" w:rsidRDefault="000D5324" w:rsidP="00D97FC5">
      <w:pPr>
        <w:pStyle w:val="ListParagraph"/>
        <w:numPr>
          <w:ilvl w:val="0"/>
          <w:numId w:val="53"/>
        </w:numPr>
      </w:pPr>
      <w:r>
        <w:t xml:space="preserve">grams </w:t>
      </w:r>
      <w:r w:rsidRPr="00051283">
        <w:t>for amounts less than a kilogram</w:t>
      </w:r>
      <w:r w:rsidR="00CA3790">
        <w:t>,</w:t>
      </w:r>
      <w:r>
        <w:t xml:space="preserve"> or</w:t>
      </w:r>
    </w:p>
    <w:p w14:paraId="524F13E7" w14:textId="307D4136" w:rsidR="000D5324" w:rsidRPr="005B5A25" w:rsidRDefault="000D5324" w:rsidP="00D97FC5">
      <w:pPr>
        <w:pStyle w:val="ListParagraph"/>
        <w:numPr>
          <w:ilvl w:val="0"/>
          <w:numId w:val="53"/>
        </w:numPr>
      </w:pPr>
      <w:r>
        <w:t>milligrams for amounts</w:t>
      </w:r>
      <w:r w:rsidRPr="005B5A25">
        <w:t xml:space="preserve"> less than a gram</w:t>
      </w:r>
      <w:r w:rsidR="00A66EB3">
        <w:rPr>
          <w:rStyle w:val="FootnoteReference"/>
          <w:sz w:val="20"/>
          <w:szCs w:val="20"/>
        </w:rPr>
        <w:footnoteReference w:id="44"/>
      </w:r>
      <w:r w:rsidRPr="005B5A25">
        <w:t>.</w:t>
      </w:r>
    </w:p>
    <w:p w14:paraId="200A3212" w14:textId="27CC1F29" w:rsidR="0012504A" w:rsidRDefault="00F272F3" w:rsidP="00AA5D00">
      <w:r>
        <w:t>C</w:t>
      </w:r>
      <w:r w:rsidR="00676C94">
        <w:t xml:space="preserve">ertain </w:t>
      </w:r>
      <w:r w:rsidR="00C71245">
        <w:t xml:space="preserve">other packaged goods </w:t>
      </w:r>
      <w:r w:rsidR="00676C94">
        <w:t>do not have</w:t>
      </w:r>
      <w:r w:rsidR="00C71245">
        <w:t xml:space="preserve"> to be marked with </w:t>
      </w:r>
      <w:r w:rsidR="00676C94">
        <w:t>a</w:t>
      </w:r>
      <w:r w:rsidR="00C71245">
        <w:t xml:space="preserve"> measurement statement</w:t>
      </w:r>
      <w:r w:rsidR="00D47452">
        <w:t xml:space="preserve"> at all</w:t>
      </w:r>
      <w:r w:rsidR="00C71245">
        <w:rPr>
          <w:rStyle w:val="FootnoteReference"/>
          <w:sz w:val="20"/>
          <w:szCs w:val="20"/>
        </w:rPr>
        <w:footnoteReference w:id="45"/>
      </w:r>
      <w:r w:rsidR="00676C94">
        <w:t xml:space="preserve">, for example </w:t>
      </w:r>
      <w:r w:rsidR="007F7F64">
        <w:t>packaged fish bait</w:t>
      </w:r>
      <w:r w:rsidR="007F7F64">
        <w:rPr>
          <w:rStyle w:val="FootnoteReference"/>
          <w:sz w:val="20"/>
          <w:szCs w:val="20"/>
        </w:rPr>
        <w:footnoteReference w:id="46"/>
      </w:r>
      <w:r w:rsidR="00D47452">
        <w:t>.</w:t>
      </w:r>
    </w:p>
    <w:p w14:paraId="36D42E31" w14:textId="77777777" w:rsidR="0012504A" w:rsidRDefault="0012504A">
      <w:r>
        <w:br w:type="page"/>
      </w:r>
    </w:p>
    <w:p w14:paraId="08C73C30" w14:textId="5CD42F13" w:rsidR="0012504A" w:rsidRPr="005A641F" w:rsidRDefault="0012504A" w:rsidP="009C5BC0">
      <w:pPr>
        <w:keepLines/>
        <w:pBdr>
          <w:top w:val="single" w:sz="4" w:space="4" w:color="ED7D31" w:themeColor="accent2"/>
          <w:left w:val="single" w:sz="4" w:space="4" w:color="ED7D31" w:themeColor="accent2"/>
          <w:bottom w:val="single" w:sz="4" w:space="4" w:color="ED7D31" w:themeColor="accent2"/>
          <w:right w:val="single" w:sz="4" w:space="4" w:color="ED7D31" w:themeColor="accent2"/>
        </w:pBdr>
        <w:shd w:val="clear" w:color="auto" w:fill="FDF1E9" w:themeFill="accent2" w:themeFillTint="1A"/>
        <w:ind w:left="113" w:right="113"/>
        <w:rPr>
          <w:rFonts w:eastAsia="Times New Roman" w:cs="Times New Roman"/>
        </w:rPr>
      </w:pPr>
      <w:r w:rsidRPr="005A641F">
        <w:rPr>
          <w:rFonts w:eastAsia="Times New Roman" w:cs="Times New Roman"/>
          <w:b/>
        </w:rPr>
        <w:lastRenderedPageBreak/>
        <w:t xml:space="preserve">Case </w:t>
      </w:r>
      <w:r w:rsidR="007A351D">
        <w:rPr>
          <w:rFonts w:eastAsia="Times New Roman" w:cs="Times New Roman"/>
          <w:b/>
        </w:rPr>
        <w:t>S</w:t>
      </w:r>
      <w:r w:rsidRPr="005A641F">
        <w:rPr>
          <w:rFonts w:eastAsia="Times New Roman" w:cs="Times New Roman"/>
          <w:b/>
        </w:rPr>
        <w:t>tudy D: Packaged sauce – volume or weight?</w:t>
      </w:r>
    </w:p>
    <w:p w14:paraId="03F3D55E" w14:textId="294D57DE" w:rsidR="00A20F8D" w:rsidRPr="005A641F" w:rsidRDefault="00612006" w:rsidP="009C5BC0">
      <w:pPr>
        <w:keepLines/>
        <w:pBdr>
          <w:top w:val="single" w:sz="4" w:space="4" w:color="ED7D31" w:themeColor="accent2"/>
          <w:left w:val="single" w:sz="4" w:space="4" w:color="ED7D31" w:themeColor="accent2"/>
          <w:bottom w:val="single" w:sz="4" w:space="4" w:color="ED7D31" w:themeColor="accent2"/>
          <w:right w:val="single" w:sz="4" w:space="4" w:color="ED7D31" w:themeColor="accent2"/>
        </w:pBdr>
        <w:shd w:val="clear" w:color="auto" w:fill="FDF1E9" w:themeFill="accent2" w:themeFillTint="1A"/>
        <w:ind w:left="113" w:right="113"/>
        <w:rPr>
          <w:rFonts w:eastAsia="Times New Roman" w:cs="Times New Roman"/>
        </w:rPr>
      </w:pPr>
      <w:r w:rsidRPr="005A641F">
        <w:rPr>
          <w:rFonts w:eastAsia="Times New Roman" w:cs="Times New Roman"/>
        </w:rPr>
        <w:t>T</w:t>
      </w:r>
      <w:r w:rsidR="009A23E9" w:rsidRPr="005A641F">
        <w:rPr>
          <w:rFonts w:eastAsia="Times New Roman" w:cs="Times New Roman"/>
        </w:rPr>
        <w:t>here is inconsistency in the way</w:t>
      </w:r>
      <w:r w:rsidRPr="005A641F">
        <w:rPr>
          <w:rFonts w:eastAsia="Times New Roman" w:cs="Times New Roman"/>
        </w:rPr>
        <w:t xml:space="preserve"> sauce</w:t>
      </w:r>
      <w:r w:rsidR="009A23E9" w:rsidRPr="005A641F">
        <w:rPr>
          <w:rFonts w:eastAsia="Times New Roman" w:cs="Times New Roman"/>
        </w:rPr>
        <w:t xml:space="preserve"> </w:t>
      </w:r>
      <w:r w:rsidR="0016410D" w:rsidRPr="005A641F">
        <w:rPr>
          <w:rFonts w:eastAsia="Times New Roman" w:cs="Times New Roman"/>
        </w:rPr>
        <w:t>products</w:t>
      </w:r>
      <w:r w:rsidRPr="005A641F">
        <w:rPr>
          <w:rFonts w:eastAsia="Times New Roman" w:cs="Times New Roman"/>
        </w:rPr>
        <w:t>, such as tomato, barbeque and mustard sauce,</w:t>
      </w:r>
      <w:r w:rsidR="0016410D" w:rsidRPr="005A641F">
        <w:rPr>
          <w:rFonts w:eastAsia="Times New Roman" w:cs="Times New Roman"/>
        </w:rPr>
        <w:t xml:space="preserve"> are</w:t>
      </w:r>
      <w:r w:rsidR="00B64FAD" w:rsidRPr="005A641F">
        <w:rPr>
          <w:rFonts w:eastAsia="Times New Roman" w:cs="Times New Roman"/>
        </w:rPr>
        <w:t xml:space="preserve"> marked with a measurement</w:t>
      </w:r>
      <w:r w:rsidR="009A23E9" w:rsidRPr="005A641F">
        <w:rPr>
          <w:rFonts w:eastAsia="Times New Roman" w:cs="Times New Roman"/>
        </w:rPr>
        <w:t>. For example, some products</w:t>
      </w:r>
      <w:r w:rsidR="009A23E9" w:rsidRPr="005A641F" w:rsidDel="00F03BD2">
        <w:rPr>
          <w:rFonts w:eastAsia="Times New Roman" w:cs="Times New Roman"/>
        </w:rPr>
        <w:t xml:space="preserve"> provide a measurement </w:t>
      </w:r>
      <w:r w:rsidR="009A23E9" w:rsidRPr="005A641F">
        <w:rPr>
          <w:rFonts w:eastAsia="Times New Roman" w:cs="Times New Roman"/>
        </w:rPr>
        <w:t xml:space="preserve">by volume and some by </w:t>
      </w:r>
      <w:r w:rsidR="00FB6C32" w:rsidRPr="005A641F">
        <w:rPr>
          <w:rFonts w:eastAsia="Times New Roman" w:cs="Times New Roman"/>
        </w:rPr>
        <w:t>weight</w:t>
      </w:r>
      <w:r w:rsidR="009A23E9" w:rsidRPr="005A641F">
        <w:rPr>
          <w:rFonts w:eastAsia="Times New Roman" w:cs="Times New Roman"/>
        </w:rPr>
        <w:t>. Under the NTMR</w:t>
      </w:r>
      <w:r w:rsidR="0094323C" w:rsidRPr="005A641F">
        <w:rPr>
          <w:rFonts w:eastAsia="Times New Roman" w:cs="Times New Roman"/>
        </w:rPr>
        <w:t>,</w:t>
      </w:r>
      <w:r w:rsidR="009A23E9" w:rsidRPr="005A641F">
        <w:rPr>
          <w:rFonts w:eastAsia="Times New Roman" w:cs="Times New Roman"/>
        </w:rPr>
        <w:t xml:space="preserve"> liquids must be marked </w:t>
      </w:r>
      <w:r w:rsidR="009A23E9" w:rsidRPr="005A641F" w:rsidDel="00F03BD2">
        <w:rPr>
          <w:rFonts w:eastAsia="Times New Roman" w:cs="Times New Roman"/>
        </w:rPr>
        <w:t>with</w:t>
      </w:r>
      <w:r w:rsidR="009A23E9" w:rsidRPr="005A641F">
        <w:rPr>
          <w:rFonts w:eastAsia="Times New Roman" w:cs="Times New Roman"/>
        </w:rPr>
        <w:t xml:space="preserve"> </w:t>
      </w:r>
      <w:r w:rsidR="009A23E9" w:rsidRPr="005A641F" w:rsidDel="00F03BD2">
        <w:rPr>
          <w:rFonts w:eastAsia="Times New Roman" w:cs="Times New Roman"/>
        </w:rPr>
        <w:t xml:space="preserve">a </w:t>
      </w:r>
      <w:r w:rsidR="009A23E9" w:rsidRPr="005A641F">
        <w:rPr>
          <w:rFonts w:eastAsia="Times New Roman" w:cs="Times New Roman"/>
        </w:rPr>
        <w:t>volume</w:t>
      </w:r>
      <w:r w:rsidR="00F65453" w:rsidRPr="005A641F">
        <w:rPr>
          <w:rStyle w:val="FootnoteReference"/>
          <w:rFonts w:eastAsia="Times New Roman" w:cs="Times New Roman"/>
        </w:rPr>
        <w:footnoteReference w:id="47"/>
      </w:r>
      <w:r w:rsidR="009A23E9" w:rsidRPr="005A641F">
        <w:rPr>
          <w:rFonts w:eastAsia="Times New Roman" w:cs="Times New Roman"/>
        </w:rPr>
        <w:t xml:space="preserve"> and solids and semi-solids must be marked </w:t>
      </w:r>
      <w:r w:rsidR="009A23E9" w:rsidRPr="005A641F" w:rsidDel="00403A44">
        <w:rPr>
          <w:rFonts w:eastAsia="Times New Roman" w:cs="Times New Roman"/>
        </w:rPr>
        <w:t>with a</w:t>
      </w:r>
      <w:r w:rsidR="009A23E9" w:rsidRPr="005A641F">
        <w:rPr>
          <w:rFonts w:eastAsia="Times New Roman" w:cs="Times New Roman"/>
        </w:rPr>
        <w:t xml:space="preserve"> </w:t>
      </w:r>
      <w:r w:rsidR="00FB6C32" w:rsidRPr="005A641F">
        <w:rPr>
          <w:rFonts w:eastAsia="Times New Roman" w:cs="Times New Roman"/>
        </w:rPr>
        <w:t>weight</w:t>
      </w:r>
      <w:r w:rsidR="00A66EB3" w:rsidRPr="005A641F">
        <w:rPr>
          <w:rStyle w:val="FootnoteReference"/>
          <w:rFonts w:eastAsia="Times New Roman" w:cs="Times New Roman"/>
        </w:rPr>
        <w:footnoteReference w:id="48"/>
      </w:r>
      <w:r w:rsidR="009A23E9" w:rsidRPr="005A641F">
        <w:rPr>
          <w:rFonts w:eastAsia="Times New Roman" w:cs="Times New Roman"/>
        </w:rPr>
        <w:t xml:space="preserve">. While some </w:t>
      </w:r>
      <w:r w:rsidR="00FB6C32" w:rsidRPr="005A641F">
        <w:rPr>
          <w:rFonts w:eastAsia="Times New Roman" w:cs="Times New Roman"/>
        </w:rPr>
        <w:t xml:space="preserve">sauces </w:t>
      </w:r>
      <w:r w:rsidR="00C90EFB" w:rsidRPr="005A641F">
        <w:rPr>
          <w:rFonts w:eastAsia="Times New Roman" w:cs="Times New Roman"/>
        </w:rPr>
        <w:t>could</w:t>
      </w:r>
      <w:r w:rsidR="009A23E9" w:rsidRPr="005A641F">
        <w:rPr>
          <w:rFonts w:eastAsia="Times New Roman" w:cs="Times New Roman"/>
        </w:rPr>
        <w:t xml:space="preserve"> be considered a liquid and others a semi-solid</w:t>
      </w:r>
      <w:r w:rsidR="00C90EFB" w:rsidRPr="005A641F">
        <w:rPr>
          <w:rFonts w:eastAsia="Times New Roman" w:cs="Times New Roman"/>
        </w:rPr>
        <w:t>, depending on their viscosity</w:t>
      </w:r>
      <w:r w:rsidR="009A23E9" w:rsidRPr="005A641F">
        <w:rPr>
          <w:rFonts w:eastAsia="Times New Roman" w:cs="Times New Roman"/>
        </w:rPr>
        <w:t xml:space="preserve">, there </w:t>
      </w:r>
      <w:r w:rsidR="004F6682" w:rsidRPr="005A641F">
        <w:rPr>
          <w:rFonts w:eastAsia="Times New Roman" w:cs="Times New Roman"/>
        </w:rPr>
        <w:t xml:space="preserve">appears to be a lack of </w:t>
      </w:r>
      <w:r w:rsidR="009A23E9" w:rsidRPr="005A641F">
        <w:rPr>
          <w:rFonts w:eastAsia="Times New Roman" w:cs="Times New Roman"/>
        </w:rPr>
        <w:t xml:space="preserve">consistency across </w:t>
      </w:r>
      <w:r w:rsidR="007F1E94" w:rsidRPr="005A641F">
        <w:rPr>
          <w:rFonts w:eastAsia="Times New Roman" w:cs="Times New Roman"/>
        </w:rPr>
        <w:t xml:space="preserve">similar </w:t>
      </w:r>
      <w:r w:rsidR="009A23E9" w:rsidRPr="005A641F">
        <w:rPr>
          <w:rFonts w:eastAsia="Times New Roman" w:cs="Times New Roman"/>
        </w:rPr>
        <w:t xml:space="preserve">products regarding the </w:t>
      </w:r>
      <w:r w:rsidR="00251D2B" w:rsidRPr="005A641F">
        <w:rPr>
          <w:rFonts w:eastAsia="Times New Roman" w:cs="Times New Roman"/>
        </w:rPr>
        <w:t xml:space="preserve">type </w:t>
      </w:r>
      <w:r w:rsidR="009A23E9" w:rsidRPr="005A641F">
        <w:rPr>
          <w:rFonts w:eastAsia="Times New Roman" w:cs="Times New Roman"/>
        </w:rPr>
        <w:t>of measurement used</w:t>
      </w:r>
      <w:r w:rsidR="00256FED" w:rsidRPr="005A641F">
        <w:rPr>
          <w:rFonts w:eastAsia="Times New Roman" w:cs="Times New Roman"/>
        </w:rPr>
        <w:t>, e.g. volume or weight</w:t>
      </w:r>
      <w:r w:rsidR="009A23E9" w:rsidRPr="005A641F">
        <w:rPr>
          <w:rFonts w:eastAsia="Times New Roman" w:cs="Times New Roman"/>
        </w:rPr>
        <w:t>.</w:t>
      </w:r>
    </w:p>
    <w:p w14:paraId="3A9BEB5F" w14:textId="3BBBD931" w:rsidR="00BC4194" w:rsidRPr="005A641F" w:rsidRDefault="00A20F8D" w:rsidP="004B67B9">
      <w:pPr>
        <w:keepLines/>
        <w:pBdr>
          <w:top w:val="single" w:sz="4" w:space="4" w:color="ED7D31" w:themeColor="accent2"/>
          <w:left w:val="single" w:sz="4" w:space="4" w:color="ED7D31" w:themeColor="accent2"/>
          <w:bottom w:val="single" w:sz="4" w:space="4" w:color="ED7D31" w:themeColor="accent2"/>
          <w:right w:val="single" w:sz="4" w:space="4" w:color="ED7D31" w:themeColor="accent2"/>
        </w:pBdr>
        <w:shd w:val="clear" w:color="auto" w:fill="FDF1E9" w:themeFill="accent2" w:themeFillTint="1A"/>
        <w:ind w:left="113" w:right="113"/>
        <w:rPr>
          <w:rFonts w:eastAsia="Times New Roman" w:cs="Times New Roman"/>
        </w:rPr>
      </w:pPr>
      <w:r w:rsidRPr="005A641F">
        <w:rPr>
          <w:rFonts w:eastAsia="Times New Roman" w:cs="Times New Roman"/>
        </w:rPr>
        <w:t>P</w:t>
      </w:r>
      <w:r w:rsidR="00BC4194" w:rsidRPr="005A641F">
        <w:rPr>
          <w:rFonts w:eastAsia="Times New Roman" w:cs="Times New Roman"/>
        </w:rPr>
        <w:t xml:space="preserve">rescribed </w:t>
      </w:r>
      <w:r w:rsidR="00251D2B" w:rsidRPr="005A641F">
        <w:rPr>
          <w:rFonts w:eastAsia="Times New Roman" w:cs="Times New Roman"/>
        </w:rPr>
        <w:t xml:space="preserve">types and </w:t>
      </w:r>
      <w:r w:rsidR="00BC4194" w:rsidRPr="005A641F">
        <w:rPr>
          <w:rFonts w:eastAsia="Times New Roman" w:cs="Times New Roman"/>
        </w:rPr>
        <w:t>units</w:t>
      </w:r>
      <w:r w:rsidR="00251D2B" w:rsidRPr="005A641F">
        <w:rPr>
          <w:rFonts w:eastAsia="Times New Roman" w:cs="Times New Roman"/>
        </w:rPr>
        <w:t xml:space="preserve"> of measurement</w:t>
      </w:r>
      <w:r w:rsidR="006C319B" w:rsidRPr="005A641F">
        <w:rPr>
          <w:rFonts w:eastAsia="Times New Roman" w:cs="Times New Roman"/>
        </w:rPr>
        <w:t xml:space="preserve"> </w:t>
      </w:r>
      <w:r w:rsidR="0014105C" w:rsidRPr="005A641F">
        <w:rPr>
          <w:rFonts w:eastAsia="Times New Roman" w:cs="Times New Roman"/>
        </w:rPr>
        <w:t xml:space="preserve">help </w:t>
      </w:r>
      <w:r w:rsidR="006C319B" w:rsidRPr="005A641F">
        <w:rPr>
          <w:rFonts w:eastAsia="Times New Roman" w:cs="Times New Roman"/>
        </w:rPr>
        <w:t>provide consistency in the measurement</w:t>
      </w:r>
      <w:r w:rsidR="00251D2B" w:rsidRPr="005A641F">
        <w:rPr>
          <w:rFonts w:eastAsia="Times New Roman" w:cs="Times New Roman"/>
        </w:rPr>
        <w:t>s</w:t>
      </w:r>
      <w:r w:rsidR="006C319B" w:rsidRPr="005A641F">
        <w:rPr>
          <w:rFonts w:eastAsia="Times New Roman" w:cs="Times New Roman"/>
        </w:rPr>
        <w:t xml:space="preserve"> used across similar produc</w:t>
      </w:r>
      <w:r w:rsidR="0077055C" w:rsidRPr="005A641F">
        <w:rPr>
          <w:rFonts w:eastAsia="Times New Roman" w:cs="Times New Roman"/>
        </w:rPr>
        <w:t>t</w:t>
      </w:r>
      <w:r w:rsidR="006C319B" w:rsidRPr="005A641F">
        <w:rPr>
          <w:rFonts w:eastAsia="Times New Roman" w:cs="Times New Roman"/>
        </w:rPr>
        <w:t>s</w:t>
      </w:r>
      <w:r w:rsidR="007F1E94" w:rsidRPr="005A641F">
        <w:rPr>
          <w:rFonts w:eastAsia="Times New Roman" w:cs="Times New Roman"/>
        </w:rPr>
        <w:t>,</w:t>
      </w:r>
      <w:r w:rsidR="006C319B" w:rsidRPr="005A641F">
        <w:rPr>
          <w:rFonts w:eastAsia="Times New Roman" w:cs="Times New Roman"/>
        </w:rPr>
        <w:t xml:space="preserve"> and this may make comparisons easier for buyers and sellers.</w:t>
      </w:r>
      <w:r w:rsidR="00BC4194" w:rsidRPr="005A641F">
        <w:rPr>
          <w:rFonts w:eastAsia="Times New Roman" w:cs="Times New Roman"/>
        </w:rPr>
        <w:t xml:space="preserve"> </w:t>
      </w:r>
      <w:r w:rsidR="006C319B" w:rsidRPr="005A641F">
        <w:rPr>
          <w:rFonts w:eastAsia="Times New Roman" w:cs="Times New Roman"/>
        </w:rPr>
        <w:t xml:space="preserve">However, </w:t>
      </w:r>
      <w:r w:rsidR="00BC4194" w:rsidRPr="005A641F">
        <w:rPr>
          <w:rFonts w:eastAsia="Times New Roman" w:cs="Times New Roman"/>
        </w:rPr>
        <w:t xml:space="preserve">the various requirements and exemptions </w:t>
      </w:r>
      <w:r w:rsidR="00E76D4B" w:rsidRPr="005A641F">
        <w:rPr>
          <w:rFonts w:eastAsia="Times New Roman" w:cs="Times New Roman"/>
        </w:rPr>
        <w:t>set out across regulations, schedules and lists can be restrictive and confusing, placing an additional burden on businesses.</w:t>
      </w:r>
      <w:r w:rsidR="00CA0907" w:rsidRPr="005A641F">
        <w:rPr>
          <w:rFonts w:eastAsia="Times New Roman" w:cs="Times New Roman"/>
        </w:rPr>
        <w:t xml:space="preserve"> </w:t>
      </w:r>
      <w:r w:rsidR="00FE1068" w:rsidRPr="005A641F">
        <w:rPr>
          <w:rFonts w:eastAsia="Times New Roman" w:cs="Times New Roman"/>
        </w:rPr>
        <w:t xml:space="preserve">Such regulatory burdens on business may be reduced through </w:t>
      </w:r>
      <w:r w:rsidR="00882DED" w:rsidRPr="005A641F">
        <w:rPr>
          <w:rFonts w:eastAsia="Times New Roman" w:cs="Times New Roman"/>
        </w:rPr>
        <w:t xml:space="preserve">the </w:t>
      </w:r>
      <w:r w:rsidR="00FE1068" w:rsidRPr="005A641F">
        <w:rPr>
          <w:rFonts w:eastAsia="Times New Roman" w:cs="Times New Roman"/>
        </w:rPr>
        <w:t xml:space="preserve">use of </w:t>
      </w:r>
      <w:r w:rsidR="00CA0907" w:rsidRPr="005A641F">
        <w:rPr>
          <w:rFonts w:eastAsia="Times New Roman" w:cs="Times New Roman"/>
        </w:rPr>
        <w:t xml:space="preserve">industry and/or voluntary codes of practice or </w:t>
      </w:r>
      <w:r w:rsidR="0016410D" w:rsidRPr="005A641F">
        <w:rPr>
          <w:rFonts w:eastAsia="Times New Roman" w:cs="Times New Roman"/>
        </w:rPr>
        <w:t>allowing</w:t>
      </w:r>
      <w:r w:rsidR="004A026F" w:rsidRPr="005A641F">
        <w:rPr>
          <w:rFonts w:eastAsia="Times New Roman" w:cs="Times New Roman"/>
        </w:rPr>
        <w:t xml:space="preserve"> </w:t>
      </w:r>
      <w:r w:rsidR="00CA0907" w:rsidRPr="005A641F">
        <w:rPr>
          <w:rFonts w:eastAsia="Times New Roman" w:cs="Times New Roman"/>
        </w:rPr>
        <w:t xml:space="preserve">individual </w:t>
      </w:r>
      <w:r w:rsidR="00D51B94" w:rsidRPr="005A641F">
        <w:rPr>
          <w:rFonts w:eastAsia="Times New Roman" w:cs="Times New Roman"/>
        </w:rPr>
        <w:t>businesses</w:t>
      </w:r>
      <w:r w:rsidR="00CA0907" w:rsidRPr="005A641F">
        <w:rPr>
          <w:rFonts w:eastAsia="Times New Roman" w:cs="Times New Roman"/>
        </w:rPr>
        <w:t xml:space="preserve"> </w:t>
      </w:r>
      <w:r w:rsidR="004A026F" w:rsidRPr="005A641F">
        <w:rPr>
          <w:rFonts w:eastAsia="Times New Roman" w:cs="Times New Roman"/>
        </w:rPr>
        <w:t xml:space="preserve">to </w:t>
      </w:r>
      <w:r w:rsidR="00CA0907" w:rsidRPr="005A641F">
        <w:rPr>
          <w:rFonts w:eastAsia="Times New Roman" w:cs="Times New Roman"/>
        </w:rPr>
        <w:t>determine the unit used.</w:t>
      </w:r>
    </w:p>
    <w:p w14:paraId="0AA17368" w14:textId="65883FFF" w:rsidR="00E76D4B" w:rsidRDefault="00E76D4B" w:rsidP="008D7E58">
      <w:pPr>
        <w:pStyle w:val="Heading2"/>
        <w:numPr>
          <w:ilvl w:val="1"/>
          <w:numId w:val="61"/>
        </w:numPr>
        <w:ind w:left="720" w:hanging="720"/>
      </w:pPr>
      <w:bookmarkStart w:id="24" w:name="_Toc3461894"/>
      <w:r w:rsidRPr="008D7E58">
        <w:t>Issues</w:t>
      </w:r>
      <w:bookmarkEnd w:id="24"/>
    </w:p>
    <w:p w14:paraId="161E80A0" w14:textId="77777777" w:rsidR="00B3276C" w:rsidRDefault="00E76D4B" w:rsidP="00AA5D00">
      <w:r w:rsidRPr="002278B3">
        <w:t xml:space="preserve">Issues </w:t>
      </w:r>
      <w:r w:rsidR="001700AC" w:rsidRPr="002278B3">
        <w:t xml:space="preserve">include the limited flexibility for marking </w:t>
      </w:r>
      <w:r w:rsidR="004B5581">
        <w:t>goods</w:t>
      </w:r>
      <w:r w:rsidR="004B5581" w:rsidRPr="002278B3">
        <w:t xml:space="preserve"> </w:t>
      </w:r>
      <w:r w:rsidR="001700AC" w:rsidRPr="002278B3">
        <w:t xml:space="preserve">with units </w:t>
      </w:r>
      <w:r w:rsidR="00972220">
        <w:t>other than those prescribed</w:t>
      </w:r>
      <w:r w:rsidR="00E71A91">
        <w:t>,</w:t>
      </w:r>
      <w:r w:rsidR="000F25FF">
        <w:t xml:space="preserve"> and</w:t>
      </w:r>
      <w:r w:rsidR="001700AC" w:rsidRPr="002278B3">
        <w:t xml:space="preserve"> the range of requirements and exemptions creat</w:t>
      </w:r>
      <w:r w:rsidR="00FF0B23">
        <w:t>ing</w:t>
      </w:r>
      <w:r w:rsidR="001700AC" w:rsidRPr="002278B3">
        <w:t xml:space="preserve"> confusion for businesses</w:t>
      </w:r>
      <w:r w:rsidR="000F25FF">
        <w:t xml:space="preserve"> and consumers</w:t>
      </w:r>
      <w:r w:rsidR="002F77EF" w:rsidRPr="002278B3">
        <w:t>.</w:t>
      </w:r>
      <w:r w:rsidR="00CA438B">
        <w:t xml:space="preserve"> </w:t>
      </w:r>
    </w:p>
    <w:p w14:paraId="6ED512BA" w14:textId="426761C9" w:rsidR="00E76D4B" w:rsidRDefault="001E519F" w:rsidP="00AA5D00">
      <w:r>
        <w:t>A number of</w:t>
      </w:r>
      <w:r w:rsidR="00891B44">
        <w:t xml:space="preserve"> regulations</w:t>
      </w:r>
      <w:r w:rsidR="00B94B7C">
        <w:t xml:space="preserve"> or international practices</w:t>
      </w:r>
      <w:r w:rsidR="00560673">
        <w:t xml:space="preserve"> may allow products to be marked with a particular unit of measurement based on a manufacturing process or the </w:t>
      </w:r>
      <w:r w:rsidR="0016410D">
        <w:t>inclusion</w:t>
      </w:r>
      <w:r w:rsidR="00560673">
        <w:t xml:space="preserve"> of particular active ingredients</w:t>
      </w:r>
      <w:r w:rsidR="004C2037">
        <w:t>.</w:t>
      </w:r>
      <w:r w:rsidR="00560673">
        <w:t xml:space="preserve"> </w:t>
      </w:r>
      <w:r w:rsidR="004C2037">
        <w:t>T</w:t>
      </w:r>
      <w:r w:rsidR="00560673">
        <w:t xml:space="preserve">his can cause problems for businesses and confusion for consumers where </w:t>
      </w:r>
      <w:r w:rsidR="0026465A">
        <w:t xml:space="preserve">unit markings </w:t>
      </w:r>
      <w:r w:rsidR="00560673">
        <w:t>do not align with the requirements in the measurement law</w:t>
      </w:r>
      <w:r w:rsidR="00972220">
        <w:t xml:space="preserve"> (e.g. sunscreen)</w:t>
      </w:r>
      <w:r w:rsidR="00560673">
        <w:t>.</w:t>
      </w:r>
      <w:r w:rsidR="00B94B7C">
        <w:t xml:space="preserve"> </w:t>
      </w:r>
      <w:r w:rsidR="004C2037">
        <w:t>Another example is d</w:t>
      </w:r>
      <w:r w:rsidR="00CA438B">
        <w:t>rained we</w:t>
      </w:r>
      <w:r w:rsidR="00762125">
        <w:t>ight (</w:t>
      </w:r>
      <w:r w:rsidR="00CA438B">
        <w:t xml:space="preserve">when </w:t>
      </w:r>
      <w:r w:rsidR="003A1B4F">
        <w:t>goods are</w:t>
      </w:r>
      <w:r w:rsidR="00CA438B">
        <w:t xml:space="preserve"> marked with a net weight for the product </w:t>
      </w:r>
      <w:r w:rsidR="003A1B4F">
        <w:t>plus</w:t>
      </w:r>
      <w:r w:rsidR="00CA438B">
        <w:t xml:space="preserve"> the liquid it </w:t>
      </w:r>
      <w:r w:rsidR="00D758F3">
        <w:t>is</w:t>
      </w:r>
      <w:r w:rsidR="00CA438B">
        <w:t xml:space="preserve"> suspended in, e.g. </w:t>
      </w:r>
      <w:r w:rsidR="004B5581" w:rsidRPr="004B5581">
        <w:t>bocconcini</w:t>
      </w:r>
      <w:r w:rsidR="003A1B4F">
        <w:t xml:space="preserve"> </w:t>
      </w:r>
      <w:r w:rsidR="00CA438B">
        <w:t xml:space="preserve">in </w:t>
      </w:r>
      <w:r w:rsidR="004B5581">
        <w:t>water</w:t>
      </w:r>
      <w:r w:rsidR="003A1B4F">
        <w:t>,</w:t>
      </w:r>
      <w:r w:rsidR="00CA438B">
        <w:t xml:space="preserve"> and a drained weight for the product, e.g. the </w:t>
      </w:r>
      <w:r w:rsidR="004B5581" w:rsidRPr="004B5581">
        <w:t>bocconcini</w:t>
      </w:r>
      <w:r w:rsidR="00CA438B">
        <w:t>)</w:t>
      </w:r>
      <w:r w:rsidR="004C2037">
        <w:t>. This</w:t>
      </w:r>
      <w:r w:rsidR="00BD0ABF">
        <w:t xml:space="preserve"> is an accepted practice in </w:t>
      </w:r>
      <w:r w:rsidR="00972220">
        <w:t xml:space="preserve">some </w:t>
      </w:r>
      <w:r w:rsidR="00BD0ABF">
        <w:t>other countries</w:t>
      </w:r>
      <w:r w:rsidR="00AD6DE1">
        <w:t>;</w:t>
      </w:r>
      <w:r w:rsidR="00BD0ABF">
        <w:t xml:space="preserve"> however</w:t>
      </w:r>
      <w:r w:rsidR="00AD6DE1">
        <w:t>,</w:t>
      </w:r>
      <w:r w:rsidR="00BD0ABF">
        <w:t xml:space="preserve"> </w:t>
      </w:r>
      <w:r w:rsidR="00972220">
        <w:t>the current focus of measurement law in Australia is</w:t>
      </w:r>
      <w:r w:rsidR="00714C95">
        <w:t xml:space="preserve"> on the </w:t>
      </w:r>
      <w:r w:rsidR="00E47A57">
        <w:t xml:space="preserve">overall </w:t>
      </w:r>
      <w:r w:rsidR="00714C95">
        <w:t>n</w:t>
      </w:r>
      <w:r w:rsidR="00D54EA6">
        <w:t>et measurement</w:t>
      </w:r>
      <w:r w:rsidR="00714C95">
        <w:t>.</w:t>
      </w:r>
    </w:p>
    <w:p w14:paraId="0F11897E" w14:textId="2F8C45BC" w:rsidR="00932865" w:rsidRPr="00286554" w:rsidRDefault="004A5D45" w:rsidP="00286554">
      <w:pPr>
        <w:pStyle w:val="Heading5"/>
        <w:rPr>
          <w:rFonts w:eastAsia="MS PGothic"/>
        </w:rPr>
      </w:pPr>
      <w:r w:rsidRPr="00286554">
        <w:rPr>
          <w:rFonts w:eastAsia="MS PGothic"/>
        </w:rPr>
        <w:t>Overseas</w:t>
      </w:r>
      <w:r w:rsidR="00932865" w:rsidRPr="00286554">
        <w:rPr>
          <w:rFonts w:eastAsia="MS PGothic"/>
        </w:rPr>
        <w:t xml:space="preserve"> comparison:</w:t>
      </w:r>
    </w:p>
    <w:p w14:paraId="2ED46BA2" w14:textId="131F224E" w:rsidR="00932865" w:rsidRPr="002278B3" w:rsidRDefault="00932865" w:rsidP="00932865">
      <w:r w:rsidRPr="002278B3">
        <w:rPr>
          <w:b/>
        </w:rPr>
        <w:t xml:space="preserve">Canada </w:t>
      </w:r>
      <w:r w:rsidRPr="002278B3">
        <w:t xml:space="preserve">prescribes </w:t>
      </w:r>
      <w:r w:rsidR="00FF0B23">
        <w:t xml:space="preserve">that </w:t>
      </w:r>
      <w:r w:rsidRPr="002278B3">
        <w:t xml:space="preserve">if packaged </w:t>
      </w:r>
      <w:r w:rsidR="003A1B4F">
        <w:t>goods are</w:t>
      </w:r>
      <w:r w:rsidRPr="002278B3">
        <w:t xml:space="preserve"> a liquid, gas or </w:t>
      </w:r>
      <w:r w:rsidR="00FF0B23">
        <w:t xml:space="preserve">are </w:t>
      </w:r>
      <w:r w:rsidRPr="002278B3">
        <w:t xml:space="preserve">viscous, </w:t>
      </w:r>
      <w:r w:rsidR="0076648A">
        <w:t>they must be sold by volume measurement</w:t>
      </w:r>
      <w:r w:rsidRPr="002278B3">
        <w:t xml:space="preserve"> and if the </w:t>
      </w:r>
      <w:r w:rsidR="003A1B4F">
        <w:t>goods</w:t>
      </w:r>
      <w:r w:rsidR="003A1B4F" w:rsidRPr="002278B3">
        <w:t xml:space="preserve"> </w:t>
      </w:r>
      <w:r w:rsidR="003A1B4F">
        <w:t>are</w:t>
      </w:r>
      <w:r w:rsidRPr="002278B3">
        <w:t xml:space="preserve"> a solid</w:t>
      </w:r>
      <w:r w:rsidR="004D24EB">
        <w:t>,</w:t>
      </w:r>
      <w:r w:rsidRPr="002278B3">
        <w:t xml:space="preserve"> </w:t>
      </w:r>
      <w:r w:rsidR="0076648A">
        <w:t>they must be sold by weight</w:t>
      </w:r>
      <w:r w:rsidR="00312955">
        <w:rPr>
          <w:rStyle w:val="FootnoteReference"/>
          <w:sz w:val="20"/>
          <w:szCs w:val="20"/>
        </w:rPr>
        <w:footnoteReference w:id="49"/>
      </w:r>
      <w:r w:rsidRPr="002278B3">
        <w:t xml:space="preserve">. </w:t>
      </w:r>
      <w:r w:rsidR="00312955">
        <w:t>However, t</w:t>
      </w:r>
      <w:r w:rsidRPr="002278B3">
        <w:t xml:space="preserve">here are various </w:t>
      </w:r>
      <w:r w:rsidR="00312955" w:rsidRPr="002278B3">
        <w:t>exc</w:t>
      </w:r>
      <w:r w:rsidR="00312955">
        <w:t>eptions</w:t>
      </w:r>
      <w:r w:rsidRPr="002278B3">
        <w:t xml:space="preserve"> to this requirement included in the </w:t>
      </w:r>
      <w:r w:rsidR="00EE3523">
        <w:t>laws</w:t>
      </w:r>
      <w:r w:rsidR="0085158B">
        <w:t>, for example honey must be sold by weight</w:t>
      </w:r>
      <w:r w:rsidR="007D05D7">
        <w:rPr>
          <w:rStyle w:val="FootnoteReference"/>
          <w:sz w:val="20"/>
          <w:szCs w:val="20"/>
        </w:rPr>
        <w:footnoteReference w:id="50"/>
      </w:r>
      <w:r w:rsidRPr="002278B3">
        <w:t>.</w:t>
      </w:r>
    </w:p>
    <w:p w14:paraId="3C84BFC1" w14:textId="71734D24" w:rsidR="0063549F" w:rsidRPr="002278B3" w:rsidRDefault="00932865" w:rsidP="00932865">
      <w:r w:rsidRPr="002278B3">
        <w:t>In the</w:t>
      </w:r>
      <w:r w:rsidRPr="002278B3">
        <w:rPr>
          <w:b/>
        </w:rPr>
        <w:t xml:space="preserve"> United Kingdom</w:t>
      </w:r>
      <w:r w:rsidRPr="002278B3">
        <w:t xml:space="preserve">, packages containing liquid </w:t>
      </w:r>
      <w:r w:rsidR="003A1B4F">
        <w:t>good</w:t>
      </w:r>
      <w:r w:rsidRPr="002278B3">
        <w:t xml:space="preserve">s are to be marked with a volume and packages containing other </w:t>
      </w:r>
      <w:r w:rsidR="003A1B4F">
        <w:t>goods</w:t>
      </w:r>
      <w:r w:rsidR="003A1B4F" w:rsidRPr="002278B3">
        <w:t xml:space="preserve"> </w:t>
      </w:r>
      <w:r w:rsidRPr="002278B3">
        <w:t>are to be marked with a weight, except where the law provides otherwise</w:t>
      </w:r>
      <w:r w:rsidR="001E4973">
        <w:rPr>
          <w:rStyle w:val="FootnoteReference"/>
          <w:sz w:val="20"/>
          <w:szCs w:val="20"/>
        </w:rPr>
        <w:footnoteReference w:id="51"/>
      </w:r>
      <w:r w:rsidRPr="002278B3">
        <w:t xml:space="preserve">. </w:t>
      </w:r>
      <w:r w:rsidRPr="008D23A2">
        <w:t>Where a package containing a solid food presented in a liquid medium is marked with the net drained weight, this is treated as the nominal quantity</w:t>
      </w:r>
      <w:r w:rsidR="00A0580A" w:rsidRPr="008D23A2">
        <w:rPr>
          <w:rStyle w:val="FootnoteReference"/>
          <w:sz w:val="20"/>
          <w:szCs w:val="20"/>
        </w:rPr>
        <w:footnoteReference w:id="52"/>
      </w:r>
      <w:r w:rsidRPr="008D23A2">
        <w:t>.</w:t>
      </w:r>
    </w:p>
    <w:p w14:paraId="7F3C6161" w14:textId="3BA79E58" w:rsidR="00A10C05" w:rsidRPr="004A5D45" w:rsidRDefault="00A10C05" w:rsidP="001172ED">
      <w:pPr>
        <w:pStyle w:val="Heading5"/>
        <w:rPr>
          <w:rStyle w:val="Tabletitle"/>
          <w:b w:val="0"/>
          <w:color w:val="2E74B5" w:themeColor="accent1" w:themeShade="BF"/>
        </w:rPr>
      </w:pPr>
      <w:r w:rsidRPr="004A5D45">
        <w:rPr>
          <w:rStyle w:val="Tabletitle"/>
          <w:b w:val="0"/>
          <w:color w:val="2E74B5" w:themeColor="accent1" w:themeShade="BF"/>
        </w:rPr>
        <w:lastRenderedPageBreak/>
        <w:t>Questions</w:t>
      </w:r>
      <w:r w:rsidR="00F31857">
        <w:rPr>
          <w:rStyle w:val="Tabletitle"/>
          <w:b w:val="0"/>
          <w:color w:val="2E74B5" w:themeColor="accent1" w:themeShade="BF"/>
        </w:rPr>
        <w:t>:</w:t>
      </w:r>
    </w:p>
    <w:p w14:paraId="70D9B8FB" w14:textId="103FD736" w:rsidR="000957FE" w:rsidRPr="008D7E58" w:rsidRDefault="00D13AA7" w:rsidP="008D7E58">
      <w:pPr>
        <w:pStyle w:val="ListParagraph"/>
        <w:numPr>
          <w:ilvl w:val="2"/>
          <w:numId w:val="61"/>
        </w:numPr>
        <w:rPr>
          <w:rFonts w:cstheme="minorHAnsi"/>
        </w:rPr>
      </w:pPr>
      <w:r w:rsidRPr="008D7E58">
        <w:rPr>
          <w:rFonts w:cstheme="minorHAnsi"/>
        </w:rPr>
        <w:t>Should there be any changes to t</w:t>
      </w:r>
      <w:r w:rsidR="00964525" w:rsidRPr="008D7E58">
        <w:rPr>
          <w:rFonts w:cstheme="minorHAnsi"/>
        </w:rPr>
        <w:t xml:space="preserve">he current approach </w:t>
      </w:r>
      <w:r w:rsidRPr="008D7E58">
        <w:rPr>
          <w:rFonts w:cstheme="minorHAnsi"/>
        </w:rPr>
        <w:t xml:space="preserve">of </w:t>
      </w:r>
      <w:r w:rsidR="00964525" w:rsidRPr="008D7E58">
        <w:rPr>
          <w:rFonts w:cstheme="minorHAnsi"/>
        </w:rPr>
        <w:t xml:space="preserve">prescribing the </w:t>
      </w:r>
      <w:r w:rsidR="00471ABB" w:rsidRPr="008D7E58">
        <w:rPr>
          <w:rFonts w:cstheme="minorHAnsi"/>
        </w:rPr>
        <w:t xml:space="preserve">types and </w:t>
      </w:r>
      <w:r w:rsidR="00964525" w:rsidRPr="008D7E58">
        <w:rPr>
          <w:rFonts w:cstheme="minorHAnsi"/>
        </w:rPr>
        <w:t>units of measurement</w:t>
      </w:r>
      <w:r w:rsidRPr="008D7E58">
        <w:rPr>
          <w:rFonts w:cstheme="minorHAnsi"/>
        </w:rPr>
        <w:t xml:space="preserve"> for marking packaged goods</w:t>
      </w:r>
      <w:r w:rsidR="00964525" w:rsidRPr="008D7E58">
        <w:rPr>
          <w:rFonts w:cstheme="minorHAnsi"/>
        </w:rPr>
        <w:t>?</w:t>
      </w:r>
      <w:r w:rsidRPr="008D7E58">
        <w:rPr>
          <w:rFonts w:cstheme="minorHAnsi"/>
        </w:rPr>
        <w:t xml:space="preserve"> Why or why not?</w:t>
      </w:r>
    </w:p>
    <w:p w14:paraId="4E1F9C6D" w14:textId="77777777" w:rsidR="0020752C" w:rsidRDefault="0020752C" w:rsidP="001172ED">
      <w:pPr>
        <w:pStyle w:val="ListParagraph"/>
      </w:pPr>
    </w:p>
    <w:p w14:paraId="6C3DC6E3" w14:textId="448495AC" w:rsidR="00964525" w:rsidRDefault="00964525" w:rsidP="001172ED">
      <w:pPr>
        <w:pStyle w:val="ListParagraph"/>
        <w:ind w:left="1080"/>
      </w:pPr>
      <w:r w:rsidRPr="000957FE">
        <w:t>In responding to this question you may wish to:</w:t>
      </w:r>
    </w:p>
    <w:p w14:paraId="2161F933" w14:textId="6F6363F9" w:rsidR="00652D35" w:rsidRDefault="00652D35" w:rsidP="00652D35">
      <w:pPr>
        <w:pStyle w:val="ListParagraph"/>
        <w:numPr>
          <w:ilvl w:val="0"/>
          <w:numId w:val="54"/>
        </w:numPr>
        <w:spacing w:after="0" w:line="240" w:lineRule="auto"/>
        <w:ind w:left="1797"/>
      </w:pPr>
      <w:r>
        <w:t>consider how the requirements for measurement types and units could be ma</w:t>
      </w:r>
      <w:r w:rsidR="00CA3790">
        <w:t>de clearer and/or more flexible</w:t>
      </w:r>
    </w:p>
    <w:p w14:paraId="71A53598" w14:textId="52FF3813" w:rsidR="0020752C" w:rsidRPr="0020329C" w:rsidRDefault="00964525" w:rsidP="001172ED">
      <w:pPr>
        <w:pStyle w:val="ListParagraph"/>
        <w:numPr>
          <w:ilvl w:val="0"/>
          <w:numId w:val="54"/>
        </w:numPr>
        <w:spacing w:after="0" w:line="240" w:lineRule="auto"/>
        <w:ind w:left="1797"/>
      </w:pPr>
      <w:r>
        <w:t xml:space="preserve">consider any industry practices and </w:t>
      </w:r>
      <w:r w:rsidR="0016410D">
        <w:t>procedures</w:t>
      </w:r>
      <w:r>
        <w:t xml:space="preserve"> that should be </w:t>
      </w:r>
      <w:r w:rsidR="00CA3790">
        <w:t>recognised, e.g. drained weight</w:t>
      </w:r>
    </w:p>
    <w:p w14:paraId="6B9DED3F" w14:textId="24170B0B" w:rsidR="0020752C" w:rsidRDefault="00964525" w:rsidP="001B5AC7">
      <w:pPr>
        <w:pStyle w:val="ListParagraph"/>
        <w:numPr>
          <w:ilvl w:val="0"/>
          <w:numId w:val="54"/>
        </w:numPr>
        <w:spacing w:after="0" w:line="240" w:lineRule="auto"/>
        <w:ind w:left="1792" w:hanging="357"/>
      </w:pPr>
      <w:r>
        <w:t xml:space="preserve">highlight any costs your business </w:t>
      </w:r>
      <w:r w:rsidR="00113B37">
        <w:t xml:space="preserve">may </w:t>
      </w:r>
      <w:r w:rsidR="0016410D">
        <w:t>incur</w:t>
      </w:r>
      <w:r>
        <w:t xml:space="preserve"> as a result of complying with the current req</w:t>
      </w:r>
      <w:r w:rsidR="00CA3790">
        <w:t>uirements</w:t>
      </w:r>
      <w:r w:rsidR="00675693">
        <w:t>,</w:t>
      </w:r>
      <w:r w:rsidR="00651367">
        <w:t xml:space="preserve"> and</w:t>
      </w:r>
    </w:p>
    <w:p w14:paraId="0DA8B48A" w14:textId="6FF2A1D9" w:rsidR="0020752C" w:rsidRDefault="00697266" w:rsidP="001B5AC7">
      <w:pPr>
        <w:pStyle w:val="ListParagraph"/>
        <w:numPr>
          <w:ilvl w:val="0"/>
          <w:numId w:val="54"/>
        </w:numPr>
        <w:spacing w:after="0" w:line="240" w:lineRule="auto"/>
        <w:ind w:left="1792" w:hanging="357"/>
      </w:pPr>
      <w:r>
        <w:t>include any examples of technical barriers to trade that have arisen as a result of a difference between Australi</w:t>
      </w:r>
      <w:r w:rsidR="00CA3790">
        <w:t>an and international approaches.</w:t>
      </w:r>
    </w:p>
    <w:p w14:paraId="20F4F5B5" w14:textId="403408A3" w:rsidR="005404CE" w:rsidRPr="002278B3" w:rsidRDefault="005404CE" w:rsidP="0020329C">
      <w:pPr>
        <w:pStyle w:val="ListParagraph"/>
      </w:pPr>
    </w:p>
    <w:p w14:paraId="41711177" w14:textId="7078D67D" w:rsidR="00831FCE" w:rsidRPr="008D7E58" w:rsidRDefault="00831FCE" w:rsidP="008D7E58">
      <w:pPr>
        <w:pStyle w:val="ListParagraph"/>
        <w:numPr>
          <w:ilvl w:val="2"/>
          <w:numId w:val="61"/>
        </w:numPr>
        <w:rPr>
          <w:rFonts w:cstheme="minorHAnsi"/>
        </w:rPr>
      </w:pPr>
      <w:r w:rsidRPr="008D7E58">
        <w:rPr>
          <w:rFonts w:cstheme="minorHAnsi"/>
        </w:rPr>
        <w:t>How do you use measurement statement</w:t>
      </w:r>
      <w:r w:rsidR="00BB2104" w:rsidRPr="008D7E58">
        <w:rPr>
          <w:rFonts w:cstheme="minorHAnsi"/>
        </w:rPr>
        <w:t>s</w:t>
      </w:r>
      <w:r w:rsidRPr="008D7E58">
        <w:rPr>
          <w:rFonts w:cstheme="minorHAnsi"/>
        </w:rPr>
        <w:t xml:space="preserve"> and other related information in your purchasing decisions? </w:t>
      </w:r>
      <w:r w:rsidR="007E0B09" w:rsidRPr="008D7E58">
        <w:rPr>
          <w:rFonts w:cstheme="minorHAnsi"/>
        </w:rPr>
        <w:t xml:space="preserve">What </w:t>
      </w:r>
      <w:r w:rsidR="0016410D" w:rsidRPr="008D7E58">
        <w:rPr>
          <w:rFonts w:cstheme="minorHAnsi"/>
        </w:rPr>
        <w:t>alternatives</w:t>
      </w:r>
      <w:r w:rsidR="007E0B09" w:rsidRPr="008D7E58">
        <w:rPr>
          <w:rFonts w:cstheme="minorHAnsi"/>
        </w:rPr>
        <w:t xml:space="preserve"> could improve the current approach?</w:t>
      </w:r>
    </w:p>
    <w:p w14:paraId="73612296" w14:textId="77777777" w:rsidR="00E704BF" w:rsidRPr="002278B3" w:rsidRDefault="00E704BF" w:rsidP="001B5AC7">
      <w:pPr>
        <w:pStyle w:val="ListParagraph"/>
      </w:pPr>
    </w:p>
    <w:p w14:paraId="7E30C00F" w14:textId="77777777" w:rsidR="00143D5E" w:rsidRDefault="00143D5E">
      <w:pPr>
        <w:rPr>
          <w:rFonts w:asciiTheme="majorHAnsi" w:eastAsiaTheme="majorEastAsia" w:hAnsiTheme="majorHAnsi" w:cstheme="majorBidi"/>
          <w:color w:val="2E74B5" w:themeColor="accent1" w:themeShade="BF"/>
          <w:sz w:val="32"/>
          <w:szCs w:val="32"/>
        </w:rPr>
      </w:pPr>
      <w:bookmarkStart w:id="25" w:name="_Toc536700737"/>
      <w:bookmarkStart w:id="26" w:name="_Toc3461895"/>
      <w:r>
        <w:br w:type="page"/>
      </w:r>
    </w:p>
    <w:p w14:paraId="30022ECE" w14:textId="730411EE" w:rsidR="002F77EF" w:rsidRPr="00E16DE8" w:rsidRDefault="00A10C05" w:rsidP="00E16DE8">
      <w:pPr>
        <w:pStyle w:val="Heading1"/>
        <w:numPr>
          <w:ilvl w:val="0"/>
          <w:numId w:val="61"/>
        </w:numPr>
      </w:pPr>
      <w:r w:rsidRPr="00E16DE8">
        <w:lastRenderedPageBreak/>
        <w:t xml:space="preserve">Testing packaged </w:t>
      </w:r>
      <w:r w:rsidR="009256ED" w:rsidRPr="00E16DE8">
        <w:t>goods</w:t>
      </w:r>
      <w:bookmarkEnd w:id="25"/>
      <w:bookmarkEnd w:id="26"/>
    </w:p>
    <w:p w14:paraId="5D517F33" w14:textId="6D06E25F" w:rsidR="00A10C05" w:rsidRPr="002278B3" w:rsidRDefault="00A10C05" w:rsidP="00A10C05">
      <w:r w:rsidRPr="002278B3">
        <w:t xml:space="preserve">The current legislation provides two </w:t>
      </w:r>
      <w:hyperlink r:id="rId21" w:history="1">
        <w:r w:rsidRPr="002278B3">
          <w:rPr>
            <w:rStyle w:val="Hyperlink"/>
            <w:sz w:val="20"/>
            <w:szCs w:val="20"/>
          </w:rPr>
          <w:t>procedures</w:t>
        </w:r>
      </w:hyperlink>
      <w:r w:rsidRPr="002278B3">
        <w:t xml:space="preserve"> for testing whether the content of packaged </w:t>
      </w:r>
      <w:r w:rsidR="006E45A4">
        <w:t>goods</w:t>
      </w:r>
      <w:r w:rsidR="006E45A4" w:rsidRPr="002278B3">
        <w:t xml:space="preserve"> </w:t>
      </w:r>
      <w:r w:rsidR="00601563">
        <w:t>p</w:t>
      </w:r>
      <w:r w:rsidR="00B34DB6">
        <w:t xml:space="preserve">acked to </w:t>
      </w:r>
      <w:r w:rsidR="003B558D">
        <w:t>the</w:t>
      </w:r>
      <w:r w:rsidR="008316E7">
        <w:t xml:space="preserve"> same</w:t>
      </w:r>
      <w:r w:rsidR="00B34DB6">
        <w:t xml:space="preserve"> measurement</w:t>
      </w:r>
      <w:r w:rsidR="00601563">
        <w:t xml:space="preserve"> (e.g. 1 kg bags of flour) </w:t>
      </w:r>
      <w:r w:rsidRPr="002278B3">
        <w:t>is consistent with the stated measurement</w:t>
      </w:r>
      <w:r w:rsidR="00B34DB6">
        <w:t>.</w:t>
      </w:r>
      <w:r w:rsidR="00601563">
        <w:t xml:space="preserve"> </w:t>
      </w:r>
    </w:p>
    <w:p w14:paraId="1A89A38B" w14:textId="230F6C2E" w:rsidR="00A10C05" w:rsidRPr="002278B3" w:rsidRDefault="002C0B25" w:rsidP="00A10C05">
      <w:r w:rsidRPr="002278B3">
        <w:t>These testing methods are</w:t>
      </w:r>
      <w:r w:rsidR="00797DC6">
        <w:t xml:space="preserve"> a system for packages marked with an</w:t>
      </w:r>
      <w:r w:rsidR="00A10C05" w:rsidRPr="002278B3">
        <w:t xml:space="preserve"> Average Quantity System (AQS) </w:t>
      </w:r>
      <w:r w:rsidR="00797DC6">
        <w:t xml:space="preserve">mark </w:t>
      </w:r>
      <w:r w:rsidR="00A10C05" w:rsidRPr="002278B3">
        <w:t>and a system for packages not marked with an AQS mark. The</w:t>
      </w:r>
      <w:r w:rsidRPr="002278B3">
        <w:t xml:space="preserve"> methods have different thresholds for failure</w:t>
      </w:r>
      <w:r w:rsidR="00A10C05" w:rsidRPr="002278B3">
        <w:t xml:space="preserve"> and this can cause confusion for business and consumers who may not understand why there is a distinction.</w:t>
      </w:r>
    </w:p>
    <w:p w14:paraId="2D53C112" w14:textId="77777777" w:rsidR="002C0B25" w:rsidRPr="00E16DE8" w:rsidRDefault="002C0B25" w:rsidP="00E16DE8">
      <w:pPr>
        <w:pStyle w:val="Heading2"/>
        <w:numPr>
          <w:ilvl w:val="1"/>
          <w:numId w:val="61"/>
        </w:numPr>
        <w:ind w:left="720" w:hanging="720"/>
      </w:pPr>
      <w:bookmarkStart w:id="27" w:name="_Toc3461896"/>
      <w:r w:rsidRPr="00E16DE8">
        <w:t>Average Quantity System (AQS)</w:t>
      </w:r>
      <w:bookmarkEnd w:id="27"/>
    </w:p>
    <w:p w14:paraId="0122A483" w14:textId="572460E9" w:rsidR="002C0B25" w:rsidRPr="002278B3" w:rsidRDefault="003743C5" w:rsidP="002C0B25">
      <w:r>
        <w:t>Variations of t</w:t>
      </w:r>
      <w:r w:rsidR="002C0B25" w:rsidRPr="002278B3">
        <w:t xml:space="preserve">he AQS </w:t>
      </w:r>
      <w:r>
        <w:t>are</w:t>
      </w:r>
      <w:r w:rsidRPr="002278B3">
        <w:t xml:space="preserve"> </w:t>
      </w:r>
      <w:r>
        <w:t>used</w:t>
      </w:r>
      <w:r w:rsidR="002C0B25" w:rsidRPr="002278B3">
        <w:t xml:space="preserve"> internationally </w:t>
      </w:r>
      <w:r>
        <w:t xml:space="preserve">as a </w:t>
      </w:r>
      <w:r w:rsidR="002C0B25" w:rsidRPr="002278B3">
        <w:t xml:space="preserve">method of determining the </w:t>
      </w:r>
      <w:r w:rsidR="00CA43F8">
        <w:t>measurement</w:t>
      </w:r>
      <w:r w:rsidR="00CA43F8" w:rsidRPr="002278B3">
        <w:t xml:space="preserve"> </w:t>
      </w:r>
      <w:r w:rsidR="002C0B25" w:rsidRPr="002278B3">
        <w:t xml:space="preserve">of prepacked goods. </w:t>
      </w:r>
      <w:r>
        <w:t>In Australia, g</w:t>
      </w:r>
      <w:r w:rsidR="00DB53A9">
        <w:t>oods</w:t>
      </w:r>
      <w:r w:rsidR="00DB53A9" w:rsidRPr="002278B3">
        <w:t xml:space="preserve"> </w:t>
      </w:r>
      <w:r w:rsidR="00CB2A50">
        <w:t xml:space="preserve">marked with an </w:t>
      </w:r>
      <w:r w:rsidR="002C0B25" w:rsidRPr="002278B3">
        <w:t xml:space="preserve">AQS </w:t>
      </w:r>
      <w:r w:rsidR="00CB2A50">
        <w:t>mark</w:t>
      </w:r>
      <w:r w:rsidR="00CB2A50">
        <w:rPr>
          <w:rStyle w:val="FootnoteReference"/>
          <w:sz w:val="20"/>
          <w:szCs w:val="20"/>
        </w:rPr>
        <w:footnoteReference w:id="53"/>
      </w:r>
      <w:r w:rsidR="00CB2A50">
        <w:t xml:space="preserve"> </w:t>
      </w:r>
      <w:r w:rsidR="002C0B25" w:rsidRPr="002278B3">
        <w:t>must comply with the following rules:</w:t>
      </w:r>
    </w:p>
    <w:p w14:paraId="290DE851" w14:textId="22E5215A" w:rsidR="002C0B25" w:rsidRPr="002278B3" w:rsidRDefault="002C0B25" w:rsidP="001B5AC7">
      <w:pPr>
        <w:pStyle w:val="ListParagraph"/>
        <w:numPr>
          <w:ilvl w:val="0"/>
          <w:numId w:val="55"/>
        </w:numPr>
      </w:pPr>
      <w:r w:rsidRPr="002278B3">
        <w:t xml:space="preserve">The </w:t>
      </w:r>
      <w:r w:rsidR="00E31673">
        <w:t xml:space="preserve">weighted </w:t>
      </w:r>
      <w:r w:rsidRPr="002278B3">
        <w:t xml:space="preserve">average net content in a sample from the production run of </w:t>
      </w:r>
      <w:r w:rsidR="008E4FC0">
        <w:t>packaged goods</w:t>
      </w:r>
      <w:r w:rsidRPr="002278B3">
        <w:t xml:space="preserve"> cannot be less than the stated quantity marked on the packages.</w:t>
      </w:r>
    </w:p>
    <w:p w14:paraId="15964425" w14:textId="1B256AD0" w:rsidR="002C0B25" w:rsidRPr="002278B3" w:rsidRDefault="002C0B25" w:rsidP="001B5AC7">
      <w:pPr>
        <w:pStyle w:val="ListParagraph"/>
        <w:numPr>
          <w:ilvl w:val="0"/>
          <w:numId w:val="55"/>
        </w:numPr>
      </w:pPr>
      <w:r w:rsidRPr="002278B3">
        <w:t>A small number of packages may exceed a tolerable deficiency</w:t>
      </w:r>
      <w:r w:rsidR="00076FE3">
        <w:rPr>
          <w:rStyle w:val="FootnoteReference"/>
          <w:sz w:val="20"/>
          <w:szCs w:val="20"/>
        </w:rPr>
        <w:footnoteReference w:id="54"/>
      </w:r>
      <w:r w:rsidRPr="002278B3">
        <w:t>.</w:t>
      </w:r>
    </w:p>
    <w:p w14:paraId="40C100D1" w14:textId="5DC234FD" w:rsidR="002C0B25" w:rsidRPr="002278B3" w:rsidRDefault="002C0B25" w:rsidP="001B5AC7">
      <w:pPr>
        <w:pStyle w:val="ListParagraph"/>
        <w:numPr>
          <w:ilvl w:val="0"/>
          <w:numId w:val="55"/>
        </w:numPr>
      </w:pPr>
      <w:r w:rsidRPr="002278B3">
        <w:t>None of the packages in the sample can have more than twice the prescribed tolerable deficiency.</w:t>
      </w:r>
    </w:p>
    <w:p w14:paraId="5975EB49" w14:textId="21B5E99E" w:rsidR="00D4251C" w:rsidRDefault="00D4251C" w:rsidP="00AB7E22">
      <w:r>
        <w:t>Goods</w:t>
      </w:r>
      <w:r w:rsidRPr="002278B3">
        <w:t xml:space="preserve"> imported from New Zealand</w:t>
      </w:r>
      <w:r>
        <w:t xml:space="preserve"> are</w:t>
      </w:r>
      <w:r w:rsidR="00D30E01">
        <w:t xml:space="preserve"> </w:t>
      </w:r>
      <w:r w:rsidR="008B2024">
        <w:t xml:space="preserve">initially </w:t>
      </w:r>
      <w:r w:rsidR="00371A1A">
        <w:t>tested</w:t>
      </w:r>
      <w:r w:rsidR="008B2024">
        <w:t xml:space="preserve"> in accordance with the Australia AQS requirements. Where an inspection lot fails, further testing is conducted in accordance with the New Zealand AQS method</w:t>
      </w:r>
      <w:r w:rsidR="008B2024">
        <w:rPr>
          <w:rStyle w:val="FootnoteReference"/>
        </w:rPr>
        <w:footnoteReference w:id="55"/>
      </w:r>
      <w:r w:rsidR="008B2024">
        <w:t xml:space="preserve"> to </w:t>
      </w:r>
      <w:r w:rsidR="00252322">
        <w:t>assess compliance with New Zealand laws</w:t>
      </w:r>
      <w:r w:rsidR="00252322">
        <w:rPr>
          <w:rStyle w:val="FootnoteReference"/>
          <w:sz w:val="20"/>
          <w:szCs w:val="20"/>
        </w:rPr>
        <w:footnoteReference w:id="56"/>
      </w:r>
      <w:r w:rsidR="00252322">
        <w:t>.</w:t>
      </w:r>
    </w:p>
    <w:p w14:paraId="239E2456" w14:textId="3E41D2F2" w:rsidR="00B5515B" w:rsidRDefault="009160A5" w:rsidP="00AB7E22">
      <w:r w:rsidRPr="001B5AC7">
        <w:t xml:space="preserve">The requirements for </w:t>
      </w:r>
      <w:r w:rsidR="002C0B25" w:rsidRPr="001B5AC7">
        <w:t>Australia’s current AQS procedure</w:t>
      </w:r>
      <w:r w:rsidR="00537162">
        <w:rPr>
          <w:rStyle w:val="FootnoteReference"/>
        </w:rPr>
        <w:footnoteReference w:id="57"/>
      </w:r>
      <w:r w:rsidR="002C0B25">
        <w:t xml:space="preserve"> </w:t>
      </w:r>
      <w:r w:rsidR="003B558D" w:rsidRPr="001B5AC7">
        <w:t>are specified</w:t>
      </w:r>
      <w:r w:rsidRPr="001B5AC7">
        <w:t xml:space="preserve"> in the measurement law and </w:t>
      </w:r>
      <w:r w:rsidR="00FF0B23" w:rsidRPr="001B5AC7">
        <w:t xml:space="preserve">are </w:t>
      </w:r>
      <w:r w:rsidR="006E757F" w:rsidRPr="001B5AC7">
        <w:t>based on</w:t>
      </w:r>
      <w:r w:rsidR="002C0B25" w:rsidRPr="001B5AC7">
        <w:t xml:space="preserve"> the </w:t>
      </w:r>
      <w:r w:rsidR="00537162" w:rsidRPr="001B5AC7">
        <w:t>2004 version of the International Organisation of Legal Metrology’s Recommendation 87</w:t>
      </w:r>
      <w:r w:rsidR="00390885" w:rsidRPr="001B5AC7">
        <w:t>.</w:t>
      </w:r>
      <w:r w:rsidR="00752034" w:rsidRPr="001B5AC7">
        <w:t xml:space="preserve"> </w:t>
      </w:r>
      <w:r w:rsidR="00B7797D" w:rsidRPr="001B5AC7">
        <w:t>The</w:t>
      </w:r>
      <w:r w:rsidR="00F67382" w:rsidRPr="001B5AC7">
        <w:t xml:space="preserve"> AQS method </w:t>
      </w:r>
      <w:r w:rsidR="00FD4E1B" w:rsidRPr="001B5AC7">
        <w:t xml:space="preserve">provides an </w:t>
      </w:r>
      <w:r w:rsidR="00C432E0" w:rsidRPr="001B5AC7">
        <w:t>effective</w:t>
      </w:r>
      <w:r w:rsidR="00FD4E1B" w:rsidRPr="001B5AC7">
        <w:t xml:space="preserve"> way of checking l</w:t>
      </w:r>
      <w:r w:rsidR="00111629" w:rsidRPr="001B5AC7">
        <w:t>arge production runs</w:t>
      </w:r>
      <w:r w:rsidR="00111629">
        <w:rPr>
          <w:sz w:val="20"/>
          <w:szCs w:val="20"/>
        </w:rPr>
        <w:t xml:space="preserve"> </w:t>
      </w:r>
      <w:r w:rsidR="00111629" w:rsidRPr="001B5AC7">
        <w:t>of packaged goods</w:t>
      </w:r>
      <w:r w:rsidR="008309AC" w:rsidRPr="001B5AC7">
        <w:t xml:space="preserve">, however it </w:t>
      </w:r>
      <w:r w:rsidR="00F67382" w:rsidRPr="001B5AC7">
        <w:t>does not enable testing of lot sizes less than 100</w:t>
      </w:r>
      <w:r w:rsidR="00CF7679">
        <w:rPr>
          <w:rStyle w:val="FootnoteReference"/>
        </w:rPr>
        <w:footnoteReference w:id="58"/>
      </w:r>
      <w:r w:rsidR="0026465A">
        <w:t>.</w:t>
      </w:r>
      <w:r w:rsidR="00F67382" w:rsidRPr="001B5AC7">
        <w:t xml:space="preserve"> This places limitations on </w:t>
      </w:r>
      <w:r w:rsidR="00B337C7" w:rsidRPr="001B5AC7">
        <w:t xml:space="preserve">the </w:t>
      </w:r>
      <w:r w:rsidR="00F67382" w:rsidRPr="001B5AC7">
        <w:t>compliance c</w:t>
      </w:r>
      <w:r w:rsidR="00B337C7" w:rsidRPr="001B5AC7">
        <w:t xml:space="preserve">hecking of </w:t>
      </w:r>
      <w:r w:rsidR="00111629" w:rsidRPr="001B5AC7">
        <w:t>packaged goods</w:t>
      </w:r>
      <w:r w:rsidR="00B337C7" w:rsidRPr="001B5AC7">
        <w:t xml:space="preserve"> when, for example</w:t>
      </w:r>
      <w:r w:rsidR="007A27A8">
        <w:t>,</w:t>
      </w:r>
      <w:r w:rsidR="00B337C7" w:rsidRPr="001B5AC7">
        <w:t xml:space="preserve"> they are imported into the country in small numbers.</w:t>
      </w:r>
    </w:p>
    <w:p w14:paraId="7E465398" w14:textId="77777777" w:rsidR="00B5515B" w:rsidRDefault="00B5515B">
      <w:r>
        <w:br w:type="page"/>
      </w:r>
    </w:p>
    <w:p w14:paraId="6E821276" w14:textId="5AD0221F" w:rsidR="00FD4E1B" w:rsidRPr="005A641F" w:rsidRDefault="00FD4E1B" w:rsidP="004B67B9">
      <w:pPr>
        <w:keepLines/>
        <w:pBdr>
          <w:top w:val="single" w:sz="4" w:space="4" w:color="ED7D31" w:themeColor="accent2"/>
          <w:left w:val="single" w:sz="4" w:space="4" w:color="ED7D31" w:themeColor="accent2"/>
          <w:bottom w:val="single" w:sz="4" w:space="4" w:color="ED7D31" w:themeColor="accent2"/>
          <w:right w:val="single" w:sz="4" w:space="4" w:color="ED7D31" w:themeColor="accent2"/>
        </w:pBdr>
        <w:shd w:val="clear" w:color="auto" w:fill="FDF1E9" w:themeFill="accent2" w:themeFillTint="1A"/>
        <w:ind w:left="113" w:right="113"/>
        <w:rPr>
          <w:rFonts w:eastAsia="Times New Roman" w:cs="Times New Roman"/>
          <w:b/>
        </w:rPr>
      </w:pPr>
      <w:r w:rsidRPr="005A641F">
        <w:rPr>
          <w:rFonts w:eastAsia="Times New Roman" w:cs="Times New Roman"/>
          <w:b/>
        </w:rPr>
        <w:lastRenderedPageBreak/>
        <w:t xml:space="preserve">Case </w:t>
      </w:r>
      <w:r w:rsidR="007A27A8">
        <w:rPr>
          <w:rFonts w:eastAsia="Times New Roman" w:cs="Times New Roman"/>
          <w:b/>
        </w:rPr>
        <w:t>S</w:t>
      </w:r>
      <w:r w:rsidRPr="005A641F">
        <w:rPr>
          <w:rFonts w:eastAsia="Times New Roman" w:cs="Times New Roman"/>
          <w:b/>
        </w:rPr>
        <w:t xml:space="preserve">tudy </w:t>
      </w:r>
      <w:r w:rsidR="00973ABB" w:rsidRPr="005A641F">
        <w:rPr>
          <w:rFonts w:eastAsia="Times New Roman" w:cs="Times New Roman"/>
          <w:b/>
        </w:rPr>
        <w:t>E</w:t>
      </w:r>
      <w:r w:rsidRPr="005A641F">
        <w:rPr>
          <w:rFonts w:eastAsia="Times New Roman" w:cs="Times New Roman"/>
          <w:b/>
        </w:rPr>
        <w:t>:</w:t>
      </w:r>
      <w:r w:rsidR="00652D35" w:rsidRPr="005A641F">
        <w:rPr>
          <w:rFonts w:eastAsia="Times New Roman" w:cs="Times New Roman"/>
          <w:b/>
        </w:rPr>
        <w:t xml:space="preserve"> Testing small numbers of packages marked with an AQS mark</w:t>
      </w:r>
    </w:p>
    <w:p w14:paraId="166D0438" w14:textId="64FB8688" w:rsidR="00C5767F" w:rsidRPr="005A641F" w:rsidRDefault="00FD4E1B" w:rsidP="004B67B9">
      <w:pPr>
        <w:keepLines/>
        <w:pBdr>
          <w:top w:val="single" w:sz="4" w:space="4" w:color="ED7D31" w:themeColor="accent2"/>
          <w:left w:val="single" w:sz="4" w:space="4" w:color="ED7D31" w:themeColor="accent2"/>
          <w:bottom w:val="single" w:sz="4" w:space="4" w:color="ED7D31" w:themeColor="accent2"/>
          <w:right w:val="single" w:sz="4" w:space="4" w:color="ED7D31" w:themeColor="accent2"/>
        </w:pBdr>
        <w:shd w:val="clear" w:color="auto" w:fill="FDF1E9" w:themeFill="accent2" w:themeFillTint="1A"/>
        <w:ind w:left="113" w:right="113"/>
        <w:rPr>
          <w:rFonts w:eastAsia="Times New Roman" w:cs="Times New Roman"/>
        </w:rPr>
      </w:pPr>
      <w:r w:rsidRPr="005A641F">
        <w:rPr>
          <w:rFonts w:eastAsia="Times New Roman" w:cs="Times New Roman"/>
        </w:rPr>
        <w:t xml:space="preserve">While inspecting an importer’s range of prepacked foods, a trade measurement inspector identifies what looks to be a potentially significant shortfall in </w:t>
      </w:r>
      <w:r w:rsidR="009E4A4C" w:rsidRPr="005A641F">
        <w:rPr>
          <w:rFonts w:eastAsia="Times New Roman" w:cs="Times New Roman"/>
        </w:rPr>
        <w:t>some packaged goods</w:t>
      </w:r>
      <w:r w:rsidRPr="005A641F">
        <w:rPr>
          <w:rFonts w:eastAsia="Times New Roman" w:cs="Times New Roman"/>
        </w:rPr>
        <w:t xml:space="preserve"> that warrants further testing. The </w:t>
      </w:r>
      <w:r w:rsidR="00C3104E" w:rsidRPr="005A641F">
        <w:rPr>
          <w:rFonts w:eastAsia="Times New Roman" w:cs="Times New Roman"/>
        </w:rPr>
        <w:t>goods are</w:t>
      </w:r>
      <w:r w:rsidRPr="005A641F">
        <w:rPr>
          <w:rFonts w:eastAsia="Times New Roman" w:cs="Times New Roman"/>
        </w:rPr>
        <w:t xml:space="preserve"> marked with an AQS mark and so will need to be tested in accordance with the AQS method. However, the ‘inspection lot’ size required by the NTMR is 100 packages and the importer is only importing 60. Consequently, the inspector cannot conduct </w:t>
      </w:r>
      <w:r w:rsidR="00CF7679" w:rsidRPr="005A641F">
        <w:rPr>
          <w:rFonts w:eastAsia="Times New Roman" w:cs="Times New Roman"/>
        </w:rPr>
        <w:t>the testing strictly in accordance with the AQS sampling procedure</w:t>
      </w:r>
      <w:r w:rsidRPr="005A641F">
        <w:rPr>
          <w:rFonts w:eastAsia="Times New Roman" w:cs="Times New Roman"/>
        </w:rPr>
        <w:t>.</w:t>
      </w:r>
    </w:p>
    <w:p w14:paraId="37353FDE" w14:textId="77777777" w:rsidR="000007FB" w:rsidRPr="00E16DE8" w:rsidRDefault="000007FB" w:rsidP="00E16DE8">
      <w:pPr>
        <w:pStyle w:val="Heading2"/>
        <w:numPr>
          <w:ilvl w:val="1"/>
          <w:numId w:val="61"/>
        </w:numPr>
        <w:ind w:left="720" w:hanging="720"/>
      </w:pPr>
      <w:bookmarkStart w:id="28" w:name="_Toc3461897"/>
      <w:r w:rsidRPr="00E16DE8">
        <w:t>System for packages not marked with an AQS mark</w:t>
      </w:r>
      <w:bookmarkEnd w:id="28"/>
    </w:p>
    <w:p w14:paraId="10E0078F" w14:textId="05A91BD7" w:rsidR="00B4269B" w:rsidRPr="002278B3" w:rsidRDefault="00B4269B" w:rsidP="00B4269B">
      <w:r w:rsidRPr="002278B3">
        <w:t xml:space="preserve">All other packaged </w:t>
      </w:r>
      <w:r w:rsidR="004B2015">
        <w:t>goods</w:t>
      </w:r>
      <w:r w:rsidR="004B2015" w:rsidRPr="002278B3">
        <w:t xml:space="preserve"> </w:t>
      </w:r>
      <w:r w:rsidR="00CF7679">
        <w:t xml:space="preserve">(that is, those without an AQS mark) </w:t>
      </w:r>
      <w:r w:rsidRPr="002278B3">
        <w:t>are tested using a procedure</w:t>
      </w:r>
      <w:r w:rsidRPr="002278B3">
        <w:rPr>
          <w:vertAlign w:val="superscript"/>
        </w:rPr>
        <w:footnoteReference w:id="59"/>
      </w:r>
      <w:r w:rsidRPr="002278B3">
        <w:t xml:space="preserve"> based on the uniform trade measurement legislation in force in the States and Territories before 2010. Under this procedure:</w:t>
      </w:r>
    </w:p>
    <w:p w14:paraId="7D8EBF9A" w14:textId="77777777" w:rsidR="00B4269B" w:rsidRPr="002278B3" w:rsidRDefault="00B4269B" w:rsidP="001B5AC7">
      <w:pPr>
        <w:pStyle w:val="ListParagraph"/>
        <w:numPr>
          <w:ilvl w:val="0"/>
          <w:numId w:val="56"/>
        </w:numPr>
      </w:pPr>
      <w:r w:rsidRPr="002278B3">
        <w:t>The average content in a sample of packaged articles of the same kind and measurement cannot be less than the stated quantity marked on the packages.</w:t>
      </w:r>
    </w:p>
    <w:p w14:paraId="68598229" w14:textId="55308A48" w:rsidR="00B4269B" w:rsidRPr="002278B3" w:rsidRDefault="00B4269B" w:rsidP="001B5AC7">
      <w:pPr>
        <w:pStyle w:val="ListParagraph"/>
        <w:numPr>
          <w:ilvl w:val="0"/>
          <w:numId w:val="56"/>
        </w:numPr>
      </w:pPr>
      <w:r w:rsidRPr="002278B3">
        <w:t xml:space="preserve">No individual packaged article within that sample can have a shortfall greater </w:t>
      </w:r>
      <w:r w:rsidR="00C51173">
        <w:t>than 5 per cent</w:t>
      </w:r>
      <w:r w:rsidRPr="002278B3">
        <w:t xml:space="preserve"> of the stated quantity.</w:t>
      </w:r>
    </w:p>
    <w:p w14:paraId="4CE34B9D" w14:textId="7F6B4661" w:rsidR="00B4269B" w:rsidRDefault="00B4269B" w:rsidP="001B5AC7">
      <w:pPr>
        <w:pStyle w:val="ListParagraph"/>
        <w:numPr>
          <w:ilvl w:val="0"/>
          <w:numId w:val="56"/>
        </w:numPr>
      </w:pPr>
      <w:r w:rsidRPr="002278B3">
        <w:t>The sample size used is 12 or more packages; however</w:t>
      </w:r>
      <w:r w:rsidR="00121D9C">
        <w:t>,</w:t>
      </w:r>
      <w:r w:rsidRPr="002278B3">
        <w:t xml:space="preserve"> there may be circumstances where a smaller sample size is acceptable.</w:t>
      </w:r>
    </w:p>
    <w:p w14:paraId="44910BCF" w14:textId="7DB9E34A" w:rsidR="00A73924" w:rsidRPr="0020329C" w:rsidRDefault="00DB7817" w:rsidP="0020329C">
      <w:r>
        <w:t>P</w:t>
      </w:r>
      <w:r w:rsidR="00CF266B">
        <w:t xml:space="preserve">ackaged </w:t>
      </w:r>
      <w:r w:rsidR="004B2015">
        <w:t>goods</w:t>
      </w:r>
      <w:r w:rsidR="004B3F8D">
        <w:t xml:space="preserve"> </w:t>
      </w:r>
      <w:r>
        <w:t xml:space="preserve">that are not packed to the same measurement but instead packed as single packages </w:t>
      </w:r>
      <w:r w:rsidR="004B3F8D">
        <w:t>(referred to as random weight or single article)</w:t>
      </w:r>
      <w:r w:rsidR="00A73924">
        <w:t xml:space="preserve"> are marked with individual measurements (e.g. 0.548 kg of mince)</w:t>
      </w:r>
      <w:r>
        <w:t>.</w:t>
      </w:r>
      <w:r w:rsidR="00A73924">
        <w:t xml:space="preserve"> </w:t>
      </w:r>
      <w:r>
        <w:t>T</w:t>
      </w:r>
      <w:r w:rsidR="0084126F">
        <w:t xml:space="preserve">he </w:t>
      </w:r>
      <w:r w:rsidR="00B44FC4">
        <w:t>relevant</w:t>
      </w:r>
      <w:r w:rsidR="0084126F">
        <w:t xml:space="preserve"> require</w:t>
      </w:r>
      <w:r w:rsidR="00B44FC4">
        <w:t xml:space="preserve">ment </w:t>
      </w:r>
      <w:r>
        <w:t xml:space="preserve">for these goods </w:t>
      </w:r>
      <w:r w:rsidR="00B44FC4">
        <w:t>is simply that</w:t>
      </w:r>
      <w:r w:rsidR="0084126F">
        <w:t xml:space="preserve"> the actual content of </w:t>
      </w:r>
      <w:r w:rsidR="00B44FC4">
        <w:t xml:space="preserve">the </w:t>
      </w:r>
      <w:r w:rsidR="0084126F">
        <w:t xml:space="preserve">packaged </w:t>
      </w:r>
      <w:r w:rsidR="004B2015">
        <w:t>good</w:t>
      </w:r>
      <w:r w:rsidR="0084126F">
        <w:t xml:space="preserve"> </w:t>
      </w:r>
      <w:r w:rsidR="00B44FC4">
        <w:t>is not</w:t>
      </w:r>
      <w:r w:rsidR="0084126F">
        <w:t xml:space="preserve"> less than what is stated</w:t>
      </w:r>
      <w:r w:rsidR="00311863">
        <w:t xml:space="preserve"> on the package.</w:t>
      </w:r>
      <w:r w:rsidR="004B3F8D">
        <w:t xml:space="preserve"> </w:t>
      </w:r>
    </w:p>
    <w:p w14:paraId="46D8B561" w14:textId="608D588A" w:rsidR="000007FB" w:rsidRDefault="00B4269B" w:rsidP="00E16DE8">
      <w:pPr>
        <w:pStyle w:val="Heading2"/>
        <w:numPr>
          <w:ilvl w:val="1"/>
          <w:numId w:val="61"/>
        </w:numPr>
        <w:ind w:left="720" w:hanging="720"/>
      </w:pPr>
      <w:bookmarkStart w:id="29" w:name="_Toc3461898"/>
      <w:r w:rsidRPr="00E16DE8">
        <w:t>Issues</w:t>
      </w:r>
      <w:bookmarkEnd w:id="29"/>
    </w:p>
    <w:p w14:paraId="6B14CF8D" w14:textId="56A7D297" w:rsidR="004B67B9" w:rsidRDefault="00263A1B" w:rsidP="00537162">
      <w:r>
        <w:t>Some of the i</w:t>
      </w:r>
      <w:r w:rsidR="00B4269B" w:rsidRPr="002278B3">
        <w:t xml:space="preserve">ssues </w:t>
      </w:r>
      <w:r w:rsidR="00737CB7">
        <w:t xml:space="preserve">relating to testing packaged goods </w:t>
      </w:r>
      <w:r w:rsidR="00B4269B" w:rsidRPr="002278B3">
        <w:t xml:space="preserve">include having two different test methods with different thresholds for failure </w:t>
      </w:r>
      <w:r w:rsidR="006E5D25">
        <w:t xml:space="preserve">and </w:t>
      </w:r>
      <w:r w:rsidR="00737CB7">
        <w:t xml:space="preserve">legislated </w:t>
      </w:r>
      <w:r w:rsidR="00100BF0">
        <w:t xml:space="preserve">test </w:t>
      </w:r>
      <w:r w:rsidR="00A3275F" w:rsidRPr="002278B3">
        <w:t>procedures</w:t>
      </w:r>
      <w:r w:rsidR="00737CB7">
        <w:t xml:space="preserve"> that</w:t>
      </w:r>
      <w:r w:rsidR="00335952">
        <w:t>, as they</w:t>
      </w:r>
      <w:r w:rsidR="00737CB7">
        <w:t xml:space="preserve"> are difficult to update quickly</w:t>
      </w:r>
      <w:r w:rsidR="00335952">
        <w:t>,</w:t>
      </w:r>
      <w:r w:rsidR="00A3275F" w:rsidRPr="002278B3">
        <w:t xml:space="preserve"> </w:t>
      </w:r>
      <w:r w:rsidR="005A20B6">
        <w:t>may</w:t>
      </w:r>
      <w:r w:rsidR="005A20B6" w:rsidRPr="002278B3">
        <w:t xml:space="preserve"> </w:t>
      </w:r>
      <w:r w:rsidR="00A3275F" w:rsidRPr="002278B3">
        <w:t xml:space="preserve">not </w:t>
      </w:r>
      <w:r w:rsidR="00737CB7">
        <w:t xml:space="preserve">keep </w:t>
      </w:r>
      <w:r w:rsidR="0016410D">
        <w:t>pace with</w:t>
      </w:r>
      <w:r w:rsidR="00A3275F" w:rsidRPr="002278B3">
        <w:t xml:space="preserve"> </w:t>
      </w:r>
      <w:r w:rsidR="00100BF0">
        <w:t xml:space="preserve">market trends or </w:t>
      </w:r>
      <w:r w:rsidR="00A3275F" w:rsidRPr="002278B3">
        <w:t>international best practice.</w:t>
      </w:r>
      <w:r w:rsidR="006E5D25">
        <w:t xml:space="preserve"> </w:t>
      </w:r>
      <w:r w:rsidR="00100BF0">
        <w:t>However, t</w:t>
      </w:r>
      <w:r w:rsidR="00737CB7">
        <w:t>he existence of two test procedures for good</w:t>
      </w:r>
      <w:r w:rsidR="0068621E">
        <w:t>s</w:t>
      </w:r>
      <w:r w:rsidR="00737CB7">
        <w:t xml:space="preserve"> packed to a consistent measurement </w:t>
      </w:r>
      <w:r w:rsidR="00100BF0">
        <w:t xml:space="preserve">does </w:t>
      </w:r>
      <w:r w:rsidR="00737CB7">
        <w:t>provide some flexibility to business</w:t>
      </w:r>
      <w:r w:rsidR="0068621E">
        <w:t xml:space="preserve"> to choose the method of packing.</w:t>
      </w:r>
      <w:r w:rsidR="006E5D25">
        <w:t xml:space="preserve"> </w:t>
      </w:r>
    </w:p>
    <w:p w14:paraId="4EAF512B" w14:textId="3EE535B9" w:rsidR="00A02072" w:rsidRDefault="00CD6A24" w:rsidP="00537162">
      <w:r>
        <w:t xml:space="preserve">The inclusion of the AQS requirements in the legislation has </w:t>
      </w:r>
      <w:r w:rsidR="0016410D">
        <w:t>led</w:t>
      </w:r>
      <w:r>
        <w:t xml:space="preserve"> to issues and delays in updating these procedures to keep pace with international trends. This has resulted in the requirements in Australia being different </w:t>
      </w:r>
      <w:r w:rsidR="007C269B">
        <w:t xml:space="preserve">from </w:t>
      </w:r>
      <w:r>
        <w:t>those used by our overseas trading partners</w:t>
      </w:r>
      <w:r w:rsidR="00C755DC">
        <w:t>. I</w:t>
      </w:r>
      <w:r>
        <w:t>n some instances</w:t>
      </w:r>
      <w:r w:rsidR="00C755DC">
        <w:t>,</w:t>
      </w:r>
      <w:r>
        <w:t xml:space="preserve"> this </w:t>
      </w:r>
      <w:r w:rsidR="00987EDE">
        <w:t>has the</w:t>
      </w:r>
      <w:r>
        <w:t xml:space="preserve"> potential </w:t>
      </w:r>
      <w:r w:rsidR="00987EDE">
        <w:t>to create</w:t>
      </w:r>
      <w:r>
        <w:t xml:space="preserve"> a barrier to trade as products that may be compliant in the country in which they are packed may be found to be non-compliant with the Australian requirements.</w:t>
      </w:r>
    </w:p>
    <w:p w14:paraId="2D032A5F" w14:textId="43D6CFB9" w:rsidR="00A3275F" w:rsidRDefault="00A3275F" w:rsidP="001B5AC7">
      <w:pPr>
        <w:pStyle w:val="Heading5"/>
      </w:pPr>
      <w:r w:rsidRPr="00C5767F">
        <w:rPr>
          <w:rFonts w:eastAsia="MS PGothic"/>
        </w:rPr>
        <w:t>Questions</w:t>
      </w:r>
      <w:r w:rsidR="00F31857">
        <w:rPr>
          <w:rFonts w:eastAsia="MS PGothic"/>
        </w:rPr>
        <w:t>:</w:t>
      </w:r>
    </w:p>
    <w:p w14:paraId="51428EEF" w14:textId="77777777" w:rsidR="00AC448D" w:rsidRPr="00E16DE8" w:rsidRDefault="00D13AA7" w:rsidP="00E16DE8">
      <w:pPr>
        <w:pStyle w:val="ListParagraph"/>
        <w:numPr>
          <w:ilvl w:val="2"/>
          <w:numId w:val="61"/>
        </w:numPr>
        <w:rPr>
          <w:rFonts w:cstheme="minorHAnsi"/>
        </w:rPr>
      </w:pPr>
      <w:r w:rsidRPr="00E16DE8">
        <w:rPr>
          <w:rFonts w:cstheme="minorHAnsi"/>
        </w:rPr>
        <w:t>Should there be any changes made to the current testing methods for packaged goods? Why or why not?</w:t>
      </w:r>
    </w:p>
    <w:p w14:paraId="11E034F9" w14:textId="34F72D13" w:rsidR="00D13AA7" w:rsidRPr="0020329C" w:rsidRDefault="00D13AA7" w:rsidP="001B5AC7">
      <w:pPr>
        <w:spacing w:after="0" w:line="240" w:lineRule="auto"/>
        <w:ind w:left="1080"/>
      </w:pPr>
      <w:r w:rsidRPr="0020329C">
        <w:t>In responding to this question you may wish to highlight:</w:t>
      </w:r>
    </w:p>
    <w:p w14:paraId="78874650" w14:textId="3DBA0417" w:rsidR="00D13AA7" w:rsidRDefault="00D13AA7" w:rsidP="001B5AC7">
      <w:pPr>
        <w:pStyle w:val="ListParagraph"/>
        <w:numPr>
          <w:ilvl w:val="0"/>
          <w:numId w:val="58"/>
        </w:numPr>
        <w:spacing w:line="240" w:lineRule="auto"/>
        <w:ind w:left="1800"/>
      </w:pPr>
      <w:r>
        <w:t>the benefits</w:t>
      </w:r>
      <w:r w:rsidR="00652D35">
        <w:t>,</w:t>
      </w:r>
      <w:r>
        <w:t xml:space="preserve"> issues</w:t>
      </w:r>
      <w:r w:rsidR="00652D35">
        <w:t xml:space="preserve"> and costs</w:t>
      </w:r>
      <w:r>
        <w:t xml:space="preserve"> </w:t>
      </w:r>
      <w:r w:rsidR="00652D35">
        <w:t>of</w:t>
      </w:r>
      <w:r>
        <w:t xml:space="preserve"> maintaining two approaches for testing packaged </w:t>
      </w:r>
      <w:r w:rsidR="0016410D">
        <w:t>goods</w:t>
      </w:r>
      <w:r>
        <w:t xml:space="preserve"> pac</w:t>
      </w:r>
      <w:r w:rsidR="00CA3790">
        <w:t>ked to a consistent measurement</w:t>
      </w:r>
    </w:p>
    <w:p w14:paraId="52998817" w14:textId="243BC1C5" w:rsidR="00D13AA7" w:rsidRDefault="00D13AA7" w:rsidP="001B5AC7">
      <w:pPr>
        <w:pStyle w:val="ListParagraph"/>
        <w:numPr>
          <w:ilvl w:val="0"/>
          <w:numId w:val="58"/>
        </w:numPr>
        <w:spacing w:line="240" w:lineRule="auto"/>
        <w:ind w:left="1800"/>
      </w:pPr>
      <w:r>
        <w:lastRenderedPageBreak/>
        <w:t>perceived bene</w:t>
      </w:r>
      <w:r w:rsidR="00652D35">
        <w:t xml:space="preserve">fits, </w:t>
      </w:r>
      <w:r>
        <w:t>issues</w:t>
      </w:r>
      <w:r w:rsidR="00652D35">
        <w:t xml:space="preserve"> and costs</w:t>
      </w:r>
      <w:r>
        <w:t xml:space="preserve"> of greater international harmonisation of Australia’s AQS </w:t>
      </w:r>
      <w:r w:rsidR="0016410D">
        <w:t>procedures</w:t>
      </w:r>
      <w:r w:rsidR="0017019D">
        <w:t>,</w:t>
      </w:r>
      <w:r w:rsidR="00E16DE8">
        <w:t xml:space="preserve"> and</w:t>
      </w:r>
    </w:p>
    <w:p w14:paraId="7DB09403" w14:textId="6BA6F162" w:rsidR="00540C41" w:rsidRPr="00924407" w:rsidRDefault="00BA20C2" w:rsidP="00E16017">
      <w:pPr>
        <w:pStyle w:val="ListParagraph"/>
        <w:numPr>
          <w:ilvl w:val="0"/>
          <w:numId w:val="58"/>
        </w:numPr>
        <w:spacing w:line="240" w:lineRule="auto"/>
        <w:ind w:left="1800" w:right="-188"/>
        <w:rPr>
          <w:sz w:val="24"/>
          <w:szCs w:val="24"/>
        </w:rPr>
      </w:pPr>
      <w:r>
        <w:t>some of the</w:t>
      </w:r>
      <w:r w:rsidR="00652D35">
        <w:t xml:space="preserve"> benefits,</w:t>
      </w:r>
      <w:r w:rsidR="00D13AA7">
        <w:t xml:space="preserve"> issues</w:t>
      </w:r>
      <w:r w:rsidR="00652D35">
        <w:t xml:space="preserve"> and costs</w:t>
      </w:r>
      <w:r w:rsidR="00D13AA7">
        <w:t xml:space="preserve"> </w:t>
      </w:r>
      <w:r>
        <w:t xml:space="preserve">that </w:t>
      </w:r>
      <w:r w:rsidR="00D13AA7">
        <w:t xml:space="preserve">exist with the current single </w:t>
      </w:r>
      <w:r w:rsidR="00924407">
        <w:t>article testing method.</w:t>
      </w:r>
    </w:p>
    <w:sectPr w:rsidR="00540C41" w:rsidRPr="00924407" w:rsidSect="002322BA">
      <w:headerReference w:type="default" r:id="rId22"/>
      <w:footerReference w:type="default" r:id="rId2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0FC9A3" w14:textId="77777777" w:rsidR="009A2266" w:rsidRDefault="009A2266" w:rsidP="00331FD1">
      <w:pPr>
        <w:spacing w:after="0" w:line="240" w:lineRule="auto"/>
      </w:pPr>
      <w:r>
        <w:separator/>
      </w:r>
    </w:p>
  </w:endnote>
  <w:endnote w:type="continuationSeparator" w:id="0">
    <w:p w14:paraId="69878F34" w14:textId="77777777" w:rsidR="009A2266" w:rsidRDefault="009A2266" w:rsidP="00331FD1">
      <w:pPr>
        <w:spacing w:after="0" w:line="240" w:lineRule="auto"/>
      </w:pPr>
      <w:r>
        <w:continuationSeparator/>
      </w:r>
    </w:p>
  </w:endnote>
  <w:endnote w:type="continuationNotice" w:id="1">
    <w:p w14:paraId="2486C126" w14:textId="77777777" w:rsidR="009A2266" w:rsidRDefault="009A226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8578582"/>
      <w:docPartObj>
        <w:docPartGallery w:val="Page Numbers (Bottom of Page)"/>
        <w:docPartUnique/>
      </w:docPartObj>
    </w:sdtPr>
    <w:sdtEndPr>
      <w:rPr>
        <w:noProof/>
      </w:rPr>
    </w:sdtEndPr>
    <w:sdtContent>
      <w:p w14:paraId="094E6BF2" w14:textId="4B6AF19E" w:rsidR="009A2266" w:rsidRDefault="009A2266">
        <w:pPr>
          <w:pStyle w:val="Footer"/>
          <w:jc w:val="right"/>
        </w:pPr>
        <w:r>
          <w:fldChar w:fldCharType="begin"/>
        </w:r>
        <w:r>
          <w:instrText xml:space="preserve"> PAGE   \* MERGEFORMAT </w:instrText>
        </w:r>
        <w:r>
          <w:fldChar w:fldCharType="separate"/>
        </w:r>
        <w:r w:rsidR="003E307F">
          <w:rPr>
            <w:noProof/>
          </w:rPr>
          <w:t>2</w:t>
        </w:r>
        <w:r>
          <w:rPr>
            <w:noProof/>
          </w:rPr>
          <w:fldChar w:fldCharType="end"/>
        </w:r>
      </w:p>
    </w:sdtContent>
  </w:sdt>
  <w:p w14:paraId="74A5AF7E" w14:textId="77777777" w:rsidR="009A2266" w:rsidRDefault="009A226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606348" w14:textId="77777777" w:rsidR="009A2266" w:rsidRDefault="009A2266" w:rsidP="00331FD1">
      <w:pPr>
        <w:spacing w:after="0" w:line="240" w:lineRule="auto"/>
      </w:pPr>
      <w:r>
        <w:separator/>
      </w:r>
    </w:p>
  </w:footnote>
  <w:footnote w:type="continuationSeparator" w:id="0">
    <w:p w14:paraId="2F5EECBF" w14:textId="77777777" w:rsidR="009A2266" w:rsidRDefault="009A2266" w:rsidP="00331FD1">
      <w:pPr>
        <w:spacing w:after="0" w:line="240" w:lineRule="auto"/>
      </w:pPr>
      <w:r>
        <w:continuationSeparator/>
      </w:r>
    </w:p>
  </w:footnote>
  <w:footnote w:type="continuationNotice" w:id="1">
    <w:p w14:paraId="7A334B80" w14:textId="77777777" w:rsidR="009A2266" w:rsidRDefault="009A2266">
      <w:pPr>
        <w:spacing w:after="0" w:line="240" w:lineRule="auto"/>
      </w:pPr>
    </w:p>
  </w:footnote>
  <w:footnote w:id="2">
    <w:p w14:paraId="52F76076" w14:textId="77777777" w:rsidR="009A2266" w:rsidRDefault="009A2266" w:rsidP="00A66EB3">
      <w:pPr>
        <w:pStyle w:val="FootnoteText"/>
      </w:pPr>
      <w:r w:rsidRPr="001E7233">
        <w:rPr>
          <w:rStyle w:val="FootnoteReference"/>
        </w:rPr>
        <w:footnoteRef/>
      </w:r>
      <w:r w:rsidRPr="001E7233">
        <w:t xml:space="preserve"> </w:t>
      </w:r>
      <w:r w:rsidRPr="009F2425">
        <w:t xml:space="preserve">Department of Industry, Innovation and Science, National Measurement Institute </w:t>
      </w:r>
      <w:hyperlink r:id="rId1" w:history="1">
        <w:r w:rsidRPr="00F55143">
          <w:rPr>
            <w:rStyle w:val="Hyperlink"/>
            <w:i/>
          </w:rPr>
          <w:t>Trade Measurement Compliance in 2017-18</w:t>
        </w:r>
      </w:hyperlink>
      <w:r>
        <w:rPr>
          <w:i/>
        </w:rPr>
        <w:t xml:space="preserve"> </w:t>
      </w:r>
      <w:r>
        <w:t>December 2018</w:t>
      </w:r>
      <w:r w:rsidRPr="009F2425">
        <w:t>.</w:t>
      </w:r>
    </w:p>
  </w:footnote>
  <w:footnote w:id="3">
    <w:p w14:paraId="2F29758D" w14:textId="77777777" w:rsidR="009A2266" w:rsidRPr="00B06572" w:rsidRDefault="009A2266" w:rsidP="00A66EB3">
      <w:pPr>
        <w:pStyle w:val="FootnoteText"/>
        <w:rPr>
          <w:lang w:val="en-US"/>
        </w:rPr>
      </w:pPr>
      <w:r>
        <w:rPr>
          <w:rStyle w:val="FootnoteReference"/>
        </w:rPr>
        <w:footnoteRef/>
      </w:r>
      <w:r>
        <w:t xml:space="preserve"> </w:t>
      </w:r>
      <w:r>
        <w:rPr>
          <w:lang w:val="en-US"/>
        </w:rPr>
        <w:t xml:space="preserve">The ACL can be found in Schedule 2 of the </w:t>
      </w:r>
      <w:r w:rsidRPr="00B06572">
        <w:rPr>
          <w:i/>
          <w:lang w:val="en-US"/>
        </w:rPr>
        <w:t>Competition and Consumer Act 2010</w:t>
      </w:r>
      <w:r>
        <w:rPr>
          <w:lang w:val="en-US"/>
        </w:rPr>
        <w:t>.</w:t>
      </w:r>
    </w:p>
  </w:footnote>
  <w:footnote w:id="4">
    <w:p w14:paraId="122CF9C0" w14:textId="004F593E" w:rsidR="009A2266" w:rsidRDefault="009A2266">
      <w:pPr>
        <w:pStyle w:val="FootnoteText"/>
      </w:pPr>
      <w:r>
        <w:rPr>
          <w:rStyle w:val="FootnoteReference"/>
        </w:rPr>
        <w:footnoteRef/>
      </w:r>
      <w:r>
        <w:t xml:space="preserve"> Particularly Part 4 of the NTMR and Parts V through VII of the Act.</w:t>
      </w:r>
    </w:p>
  </w:footnote>
  <w:footnote w:id="5">
    <w:p w14:paraId="6CEBBE37" w14:textId="788408A1" w:rsidR="009A2266" w:rsidRDefault="009A2266">
      <w:pPr>
        <w:pStyle w:val="FootnoteText"/>
      </w:pPr>
      <w:r>
        <w:rPr>
          <w:rStyle w:val="FootnoteReference"/>
        </w:rPr>
        <w:footnoteRef/>
      </w:r>
      <w:r>
        <w:t xml:space="preserve"> Section 3 of the Act defines measurement as “a determination of number or physical quantity, other than for descriptive purposes only”.</w:t>
      </w:r>
    </w:p>
  </w:footnote>
  <w:footnote w:id="6">
    <w:p w14:paraId="2F752559" w14:textId="77777777" w:rsidR="009A2266" w:rsidRPr="00B06572" w:rsidRDefault="009A2266" w:rsidP="00A66EB3">
      <w:pPr>
        <w:pStyle w:val="FootnoteText"/>
        <w:rPr>
          <w:lang w:val="en-US"/>
        </w:rPr>
      </w:pPr>
      <w:r>
        <w:rPr>
          <w:rStyle w:val="FootnoteReference"/>
        </w:rPr>
        <w:footnoteRef/>
      </w:r>
      <w:r>
        <w:t xml:space="preserve"> </w:t>
      </w:r>
      <w:r>
        <w:rPr>
          <w:lang w:val="en-US"/>
        </w:rPr>
        <w:t>Section 18 of the ACL.</w:t>
      </w:r>
    </w:p>
  </w:footnote>
  <w:footnote w:id="7">
    <w:p w14:paraId="46C4347C" w14:textId="0E1781D6" w:rsidR="009A2266" w:rsidRDefault="009A2266">
      <w:pPr>
        <w:pStyle w:val="FootnoteText"/>
      </w:pPr>
      <w:r>
        <w:rPr>
          <w:rStyle w:val="FootnoteReference"/>
        </w:rPr>
        <w:footnoteRef/>
      </w:r>
      <w:r>
        <w:t xml:space="preserve"> See case studies A and B below for the examples of these types of transactions.</w:t>
      </w:r>
    </w:p>
  </w:footnote>
  <w:footnote w:id="8">
    <w:p w14:paraId="51CC4517" w14:textId="28696108" w:rsidR="009A2266" w:rsidRPr="00AB07D0" w:rsidRDefault="009A2266">
      <w:pPr>
        <w:pStyle w:val="FootnoteText"/>
      </w:pPr>
      <w:r w:rsidRPr="00AB07D0">
        <w:rPr>
          <w:rStyle w:val="FootnoteReference"/>
        </w:rPr>
        <w:footnoteRef/>
      </w:r>
      <w:r w:rsidRPr="00AB07D0">
        <w:t xml:space="preserve"> See the companion discussion paper on </w:t>
      </w:r>
      <w:hyperlink r:id="rId2" w:history="1">
        <w:r w:rsidRPr="0070590E">
          <w:rPr>
            <w:rStyle w:val="Hyperlink"/>
            <w:i/>
          </w:rPr>
          <w:t>Measuring Instruments</w:t>
        </w:r>
      </w:hyperlink>
      <w:r w:rsidR="0070590E">
        <w:t xml:space="preserve"> </w:t>
      </w:r>
      <w:r w:rsidRPr="00AB07D0">
        <w:t>for related information on control mechanisms that aim to ensure the ongoing confidence in</w:t>
      </w:r>
      <w:r w:rsidRPr="00AB07D0" w:rsidDel="00410C18">
        <w:t xml:space="preserve"> </w:t>
      </w:r>
      <w:r w:rsidRPr="00AB07D0">
        <w:t>measuring instruments.</w:t>
      </w:r>
    </w:p>
  </w:footnote>
  <w:footnote w:id="9">
    <w:p w14:paraId="6663DC40" w14:textId="738317F9" w:rsidR="009A2266" w:rsidRPr="00AB07D0" w:rsidDel="00410C18" w:rsidRDefault="009A2266">
      <w:pPr>
        <w:pStyle w:val="FootnoteText"/>
      </w:pPr>
      <w:r w:rsidRPr="00AB07D0" w:rsidDel="00410C18">
        <w:rPr>
          <w:rStyle w:val="FootnoteReference"/>
        </w:rPr>
        <w:footnoteRef/>
      </w:r>
      <w:r w:rsidRPr="00AB07D0" w:rsidDel="00410C18">
        <w:t xml:space="preserve"> See Section 4B of the Act.</w:t>
      </w:r>
    </w:p>
  </w:footnote>
  <w:footnote w:id="10">
    <w:p w14:paraId="0A3FAB47" w14:textId="77777777" w:rsidR="009A2266" w:rsidRPr="00AB07D0" w:rsidRDefault="009A2266" w:rsidP="00A66EB3">
      <w:pPr>
        <w:pStyle w:val="FootnoteText"/>
        <w:rPr>
          <w:sz w:val="22"/>
          <w:szCs w:val="22"/>
          <w:lang w:val="en-US"/>
        </w:rPr>
      </w:pPr>
      <w:r w:rsidRPr="00AB07D0">
        <w:rPr>
          <w:rStyle w:val="FootnoteReference"/>
        </w:rPr>
        <w:footnoteRef/>
      </w:r>
      <w:r w:rsidRPr="00AB07D0">
        <w:t xml:space="preserve"> See Subdivision 3-C of Division 3 of Part VI (packing, importing, possessing, selling goods with AQS mark) and Subdivision 4-B of Division 4 of Part VI (packing, importing, possessing, selling goods) of the Act. These offences are replicated in the measurement law for various types of behaviour, resulting in different offence provisions depending on whether the goods are marked/not marked with an AQS mark and whether the activity was to pack, import, sell, or possess, offer or expose for sale.</w:t>
      </w:r>
    </w:p>
  </w:footnote>
  <w:footnote w:id="11">
    <w:p w14:paraId="7DA031A6" w14:textId="77777777" w:rsidR="009A2266" w:rsidRPr="00AB07D0" w:rsidRDefault="009A2266" w:rsidP="00A66EB3">
      <w:pPr>
        <w:pStyle w:val="FootnoteText"/>
        <w:rPr>
          <w:lang w:val="en-US"/>
        </w:rPr>
      </w:pPr>
      <w:r w:rsidRPr="00AB07D0">
        <w:rPr>
          <w:rStyle w:val="FootnoteReference"/>
        </w:rPr>
        <w:footnoteRef/>
      </w:r>
      <w:r w:rsidRPr="00AB07D0">
        <w:t xml:space="preserve"> Section 18KD of the Act.</w:t>
      </w:r>
    </w:p>
  </w:footnote>
  <w:footnote w:id="12">
    <w:p w14:paraId="684281D6" w14:textId="3343C945" w:rsidR="009A2266" w:rsidRPr="00AB07D0" w:rsidRDefault="009A2266">
      <w:pPr>
        <w:pStyle w:val="FootnoteText"/>
        <w:rPr>
          <w:lang w:val="en-US"/>
        </w:rPr>
      </w:pPr>
      <w:r w:rsidRPr="00AB07D0">
        <w:rPr>
          <w:rStyle w:val="FootnoteReference"/>
        </w:rPr>
        <w:footnoteRef/>
      </w:r>
      <w:r w:rsidRPr="00AB07D0">
        <w:t xml:space="preserve"> </w:t>
      </w:r>
      <w:r w:rsidRPr="00AB07D0">
        <w:rPr>
          <w:lang w:val="en-US"/>
        </w:rPr>
        <w:t xml:space="preserve">Noting that section </w:t>
      </w:r>
      <w:r w:rsidRPr="00AB07D0">
        <w:t>18GD of the Act impo</w:t>
      </w:r>
      <w:r>
        <w:t xml:space="preserve">ses an offence relating to the </w:t>
      </w:r>
      <w:r w:rsidRPr="00AB07D0">
        <w:t>inaccurate use of</w:t>
      </w:r>
      <w:r>
        <w:t xml:space="preserve"> a</w:t>
      </w:r>
      <w:r w:rsidRPr="00AB07D0">
        <w:t xml:space="preserve"> measuring instrument and that</w:t>
      </w:r>
      <w:r w:rsidRPr="00AB07D0">
        <w:rPr>
          <w:i/>
        </w:rPr>
        <w:t xml:space="preserve"> </w:t>
      </w:r>
      <w:r w:rsidRPr="00AB07D0">
        <w:rPr>
          <w:lang w:val="en-US"/>
        </w:rPr>
        <w:t>consumer protection legislation may also apply to this scenario.</w:t>
      </w:r>
    </w:p>
  </w:footnote>
  <w:footnote w:id="13">
    <w:p w14:paraId="0DBC3154" w14:textId="2DAFB14C" w:rsidR="009A2266" w:rsidRPr="00AB07D0" w:rsidRDefault="009A2266">
      <w:pPr>
        <w:pStyle w:val="FootnoteText"/>
      </w:pPr>
      <w:r w:rsidRPr="00AB07D0">
        <w:rPr>
          <w:rStyle w:val="FootnoteReference"/>
        </w:rPr>
        <w:footnoteRef/>
      </w:r>
      <w:r w:rsidRPr="00AB07D0">
        <w:t xml:space="preserve"> </w:t>
      </w:r>
      <w:r w:rsidRPr="00AB07D0">
        <w:rPr>
          <w:lang w:val="en-US"/>
        </w:rPr>
        <w:t xml:space="preserve">Noting that section </w:t>
      </w:r>
      <w:r w:rsidRPr="00AB07D0">
        <w:t>18GD of the Act imposes an offence relat</w:t>
      </w:r>
      <w:r>
        <w:t xml:space="preserve">ing to the inaccurate use of a </w:t>
      </w:r>
      <w:r w:rsidRPr="00AB07D0">
        <w:t>measuring instrument and that</w:t>
      </w:r>
      <w:r w:rsidRPr="00AB07D0">
        <w:rPr>
          <w:i/>
        </w:rPr>
        <w:t xml:space="preserve"> </w:t>
      </w:r>
      <w:r w:rsidRPr="00AB07D0">
        <w:rPr>
          <w:lang w:val="en-US"/>
        </w:rPr>
        <w:t>consumer protection legislation may also apply to this scenario.</w:t>
      </w:r>
    </w:p>
  </w:footnote>
  <w:footnote w:id="14">
    <w:p w14:paraId="2EDDCD26" w14:textId="7438FFB4" w:rsidR="009A2266" w:rsidRPr="00AB07D0" w:rsidRDefault="009A2266">
      <w:pPr>
        <w:pStyle w:val="FootnoteText"/>
      </w:pPr>
      <w:r w:rsidRPr="00AB07D0">
        <w:rPr>
          <w:rStyle w:val="FootnoteReference"/>
        </w:rPr>
        <w:footnoteRef/>
      </w:r>
      <w:r w:rsidRPr="00AB07D0">
        <w:t xml:space="preserve"> Sections 33 and 34 of the </w:t>
      </w:r>
      <w:r w:rsidRPr="00AB07D0">
        <w:rPr>
          <w:i/>
        </w:rPr>
        <w:t>Weights and Measures Act</w:t>
      </w:r>
      <w:r w:rsidRPr="00AB07D0">
        <w:t>, RSC 1985, c W-6 (Canada).</w:t>
      </w:r>
    </w:p>
  </w:footnote>
  <w:footnote w:id="15">
    <w:p w14:paraId="52BC72BD" w14:textId="623BE0D3" w:rsidR="009A2266" w:rsidRPr="00AB07D0" w:rsidRDefault="009A2266">
      <w:pPr>
        <w:pStyle w:val="FootnoteText"/>
      </w:pPr>
      <w:r w:rsidRPr="00AB07D0">
        <w:rPr>
          <w:rStyle w:val="FootnoteReference"/>
        </w:rPr>
        <w:footnoteRef/>
      </w:r>
      <w:r w:rsidRPr="00AB07D0">
        <w:t xml:space="preserve"> Section 19 of the </w:t>
      </w:r>
      <w:r w:rsidRPr="00AB07D0">
        <w:rPr>
          <w:i/>
        </w:rPr>
        <w:t>Weights and Measures Act</w:t>
      </w:r>
      <w:r w:rsidRPr="00AB07D0">
        <w:t xml:space="preserve"> (Cap 349, 1985 Rev Ed) (Singapore).</w:t>
      </w:r>
    </w:p>
  </w:footnote>
  <w:footnote w:id="16">
    <w:p w14:paraId="54A5772E" w14:textId="06F8E99D" w:rsidR="009A2266" w:rsidRPr="00AB07D0" w:rsidRDefault="009A2266">
      <w:pPr>
        <w:pStyle w:val="FootnoteText"/>
      </w:pPr>
      <w:r w:rsidRPr="00AB07D0">
        <w:rPr>
          <w:rStyle w:val="FootnoteReference"/>
        </w:rPr>
        <w:footnoteRef/>
      </w:r>
      <w:r w:rsidRPr="00AB07D0">
        <w:t xml:space="preserve"> Sections 16, 16A and 17 of the </w:t>
      </w:r>
      <w:r w:rsidRPr="00AB07D0">
        <w:rPr>
          <w:i/>
        </w:rPr>
        <w:t>Weights and Measures Act 1987</w:t>
      </w:r>
      <w:r w:rsidRPr="00AB07D0">
        <w:t xml:space="preserve"> (New Zealand).</w:t>
      </w:r>
    </w:p>
  </w:footnote>
  <w:footnote w:id="17">
    <w:p w14:paraId="1A29D463" w14:textId="420B6658" w:rsidR="009A2266" w:rsidRPr="00A163C1" w:rsidRDefault="009A2266">
      <w:pPr>
        <w:pStyle w:val="FootnoteText"/>
      </w:pPr>
      <w:r w:rsidRPr="00AB07D0">
        <w:rPr>
          <w:rStyle w:val="FootnoteReference"/>
        </w:rPr>
        <w:footnoteRef/>
      </w:r>
      <w:r w:rsidRPr="00AB07D0">
        <w:t xml:space="preserve"> Sections 28, 29 and 30 of the </w:t>
      </w:r>
      <w:r w:rsidRPr="00AB07D0">
        <w:rPr>
          <w:i/>
        </w:rPr>
        <w:t>Weights and Measures Act 1985, c. 72</w:t>
      </w:r>
      <w:r w:rsidRPr="00AB07D0">
        <w:t xml:space="preserve"> (United Kingdom).</w:t>
      </w:r>
    </w:p>
  </w:footnote>
  <w:footnote w:id="18">
    <w:p w14:paraId="5EE0A010" w14:textId="5A5EB2D8" w:rsidR="009A2266" w:rsidRPr="00AB07D0" w:rsidRDefault="009A2266">
      <w:pPr>
        <w:pStyle w:val="FootnoteText"/>
      </w:pPr>
      <w:r w:rsidRPr="00AB07D0">
        <w:rPr>
          <w:rStyle w:val="FootnoteReference"/>
        </w:rPr>
        <w:footnoteRef/>
      </w:r>
      <w:r w:rsidRPr="00AB07D0">
        <w:t xml:space="preserve"> Required under </w:t>
      </w:r>
      <w:r w:rsidRPr="00AB07D0">
        <w:rPr>
          <w:rFonts w:ascii="Arial" w:hAnsi="Arial" w:cs="Arial"/>
        </w:rPr>
        <w:t>sub-regulation 4.13(1) and Schedule 5 of the NTMR.</w:t>
      </w:r>
    </w:p>
  </w:footnote>
  <w:footnote w:id="19">
    <w:p w14:paraId="3C3F78E0" w14:textId="72B30F4B" w:rsidR="009A2266" w:rsidRPr="00AB07D0" w:rsidRDefault="009A2266">
      <w:pPr>
        <w:pStyle w:val="FootnoteText"/>
      </w:pPr>
      <w:r w:rsidRPr="00AB07D0">
        <w:rPr>
          <w:rStyle w:val="FootnoteReference"/>
        </w:rPr>
        <w:footnoteRef/>
      </w:r>
      <w:r w:rsidRPr="00AB07D0">
        <w:t xml:space="preserve"> Section 18HI of the Act.</w:t>
      </w:r>
    </w:p>
  </w:footnote>
  <w:footnote w:id="20">
    <w:p w14:paraId="28A1F1B6" w14:textId="77777777" w:rsidR="009A2266" w:rsidRPr="00AB07D0" w:rsidRDefault="009A2266" w:rsidP="00A66EB3">
      <w:pPr>
        <w:pStyle w:val="FootnoteText"/>
      </w:pPr>
      <w:r w:rsidRPr="00AB07D0">
        <w:rPr>
          <w:rStyle w:val="FootnoteReference"/>
        </w:rPr>
        <w:footnoteRef/>
      </w:r>
      <w:r w:rsidRPr="00AB07D0">
        <w:t xml:space="preserve"> This is required by the offence provisions in the Act.</w:t>
      </w:r>
    </w:p>
  </w:footnote>
  <w:footnote w:id="21">
    <w:p w14:paraId="74C3B206" w14:textId="77777777" w:rsidR="009A2266" w:rsidRDefault="009A2266" w:rsidP="00A66EB3">
      <w:pPr>
        <w:pStyle w:val="FootnoteText"/>
      </w:pPr>
      <w:r w:rsidRPr="00AB07D0">
        <w:rPr>
          <w:rStyle w:val="FootnoteReference"/>
        </w:rPr>
        <w:footnoteRef/>
      </w:r>
      <w:r w:rsidRPr="00AB07D0">
        <w:t xml:space="preserve"> Regulation 1.5 &amp; 1.6 of the NTMR</w:t>
      </w:r>
      <w:r>
        <w:t>.</w:t>
      </w:r>
    </w:p>
  </w:footnote>
  <w:footnote w:id="22">
    <w:p w14:paraId="7999D83B" w14:textId="77777777" w:rsidR="009A2266" w:rsidRDefault="009A2266" w:rsidP="00A66EB3">
      <w:pPr>
        <w:pStyle w:val="FootnoteText"/>
      </w:pPr>
      <w:r>
        <w:rPr>
          <w:rStyle w:val="FootnoteReference"/>
        </w:rPr>
        <w:footnoteRef/>
      </w:r>
      <w:r>
        <w:t xml:space="preserve"> Regulation 5.1 of the NTMR.</w:t>
      </w:r>
    </w:p>
  </w:footnote>
  <w:footnote w:id="23">
    <w:p w14:paraId="31930D60" w14:textId="67585150" w:rsidR="009A2266" w:rsidRDefault="009A2266">
      <w:pPr>
        <w:pStyle w:val="FootnoteText"/>
      </w:pPr>
      <w:r>
        <w:rPr>
          <w:rStyle w:val="FootnoteReference"/>
        </w:rPr>
        <w:footnoteRef/>
      </w:r>
      <w:r>
        <w:t xml:space="preserve"> Sub-paragraph 5.2(1)(b)(iv) NTMR.</w:t>
      </w:r>
    </w:p>
  </w:footnote>
  <w:footnote w:id="24">
    <w:p w14:paraId="63B6A162" w14:textId="0F256630" w:rsidR="009A2266" w:rsidRDefault="009A2266">
      <w:pPr>
        <w:pStyle w:val="FootnoteText"/>
      </w:pPr>
      <w:r>
        <w:rPr>
          <w:rStyle w:val="FootnoteReference"/>
        </w:rPr>
        <w:footnoteRef/>
      </w:r>
      <w:r>
        <w:t xml:space="preserve"> Refer to the table in sub-regulation 1.5(1), NTMR for a list of those animals considered to be meat for the purposes of regulation by measurement law.</w:t>
      </w:r>
    </w:p>
  </w:footnote>
  <w:footnote w:id="25">
    <w:p w14:paraId="4B381963" w14:textId="77777777" w:rsidR="009A2266" w:rsidRDefault="009A2266" w:rsidP="00A66EB3">
      <w:pPr>
        <w:pStyle w:val="FootnoteText"/>
      </w:pPr>
      <w:r>
        <w:rPr>
          <w:rStyle w:val="FootnoteReference"/>
        </w:rPr>
        <w:footnoteRef/>
      </w:r>
      <w:r>
        <w:t xml:space="preserve"> Sub-regulation 1.5(4), NTMR.</w:t>
      </w:r>
    </w:p>
  </w:footnote>
  <w:footnote w:id="26">
    <w:p w14:paraId="7CD374E5" w14:textId="77777777" w:rsidR="009A2266" w:rsidRPr="000D5324" w:rsidRDefault="009A2266" w:rsidP="00A66EB3">
      <w:pPr>
        <w:pStyle w:val="FootnoteText"/>
        <w:rPr>
          <w:lang w:val="en-US"/>
        </w:rPr>
      </w:pPr>
      <w:r>
        <w:rPr>
          <w:rStyle w:val="FootnoteReference"/>
        </w:rPr>
        <w:footnoteRef/>
      </w:r>
      <w:r>
        <w:t xml:space="preserve"> Sub-regulation 1.5(2), NTMR.</w:t>
      </w:r>
    </w:p>
  </w:footnote>
  <w:footnote w:id="27">
    <w:p w14:paraId="550A8106" w14:textId="22D62499" w:rsidR="009A2266" w:rsidRDefault="009A2266">
      <w:pPr>
        <w:pStyle w:val="FootnoteText"/>
      </w:pPr>
      <w:r>
        <w:rPr>
          <w:rStyle w:val="FootnoteReference"/>
        </w:rPr>
        <w:footnoteRef/>
      </w:r>
      <w:r>
        <w:t xml:space="preserve"> Regulation 1.5, NTMR.</w:t>
      </w:r>
    </w:p>
  </w:footnote>
  <w:footnote w:id="28">
    <w:p w14:paraId="3483F3B7" w14:textId="02DF69C8" w:rsidR="009A2266" w:rsidRDefault="009A2266">
      <w:pPr>
        <w:pStyle w:val="FootnoteText"/>
      </w:pPr>
      <w:r>
        <w:rPr>
          <w:rStyle w:val="FootnoteReference"/>
        </w:rPr>
        <w:footnoteRef/>
      </w:r>
      <w:r>
        <w:t xml:space="preserve"> Sub-regulation 5.2(5), NTMR.</w:t>
      </w:r>
    </w:p>
  </w:footnote>
  <w:footnote w:id="29">
    <w:p w14:paraId="66986922" w14:textId="15C42E98" w:rsidR="009A2266" w:rsidRPr="00044F27" w:rsidRDefault="009A2266">
      <w:pPr>
        <w:pStyle w:val="FootnoteText"/>
      </w:pPr>
      <w:r>
        <w:rPr>
          <w:rStyle w:val="FootnoteReference"/>
        </w:rPr>
        <w:footnoteRef/>
      </w:r>
      <w:r>
        <w:t xml:space="preserve"> Regulation 81 of the </w:t>
      </w:r>
      <w:r>
        <w:rPr>
          <w:i/>
        </w:rPr>
        <w:t>Weights and Measures Regulations 1999</w:t>
      </w:r>
      <w:r>
        <w:t xml:space="preserve"> (New Zealand).</w:t>
      </w:r>
    </w:p>
  </w:footnote>
  <w:footnote w:id="30">
    <w:p w14:paraId="308BF5C2" w14:textId="2D42B265" w:rsidR="009A2266" w:rsidRPr="00801257" w:rsidRDefault="009A2266">
      <w:pPr>
        <w:pStyle w:val="FootnoteText"/>
      </w:pPr>
      <w:r>
        <w:rPr>
          <w:rStyle w:val="FootnoteReference"/>
        </w:rPr>
        <w:footnoteRef/>
      </w:r>
      <w:r>
        <w:t xml:space="preserve"> Section 12 of the </w:t>
      </w:r>
      <w:r>
        <w:rPr>
          <w:i/>
        </w:rPr>
        <w:t>Weights and Measures Act 1987</w:t>
      </w:r>
      <w:r>
        <w:t xml:space="preserve"> (New Zealand).</w:t>
      </w:r>
    </w:p>
  </w:footnote>
  <w:footnote w:id="31">
    <w:p w14:paraId="67302D10" w14:textId="42EC3DB1" w:rsidR="009A2266" w:rsidRPr="00801257" w:rsidRDefault="009A2266">
      <w:pPr>
        <w:pStyle w:val="FootnoteText"/>
      </w:pPr>
      <w:r>
        <w:rPr>
          <w:rStyle w:val="FootnoteReference"/>
        </w:rPr>
        <w:footnoteRef/>
      </w:r>
      <w:r>
        <w:t xml:space="preserve"> Section 10 of the </w:t>
      </w:r>
      <w:r>
        <w:rPr>
          <w:i/>
        </w:rPr>
        <w:t>Weights and Measures Act 1987</w:t>
      </w:r>
      <w:r>
        <w:t xml:space="preserve"> (New Zealand.</w:t>
      </w:r>
    </w:p>
  </w:footnote>
  <w:footnote w:id="32">
    <w:p w14:paraId="17A9E5D2" w14:textId="191E01CD" w:rsidR="009A2266" w:rsidRPr="007240A0" w:rsidRDefault="009A2266">
      <w:pPr>
        <w:pStyle w:val="FootnoteText"/>
      </w:pPr>
      <w:r>
        <w:rPr>
          <w:rStyle w:val="FootnoteReference"/>
        </w:rPr>
        <w:footnoteRef/>
      </w:r>
      <w:r>
        <w:t xml:space="preserve"> Regulation 79A of the </w:t>
      </w:r>
      <w:r>
        <w:rPr>
          <w:i/>
        </w:rPr>
        <w:t>weights and Measures Regulations 1999</w:t>
      </w:r>
      <w:r>
        <w:t xml:space="preserve"> (New Zealand).</w:t>
      </w:r>
    </w:p>
  </w:footnote>
  <w:footnote w:id="33">
    <w:p w14:paraId="63FA3061" w14:textId="5171F1CA" w:rsidR="009A2266" w:rsidRDefault="009A2266">
      <w:pPr>
        <w:pStyle w:val="FootnoteText"/>
      </w:pPr>
      <w:r>
        <w:rPr>
          <w:rStyle w:val="FootnoteReference"/>
        </w:rPr>
        <w:footnoteRef/>
      </w:r>
      <w:r>
        <w:t xml:space="preserve"> </w:t>
      </w:r>
      <w:hyperlink r:id="rId3" w:tooltip="Asia-Pacific Legal Metrology Forum website link" w:history="1">
        <w:r w:rsidRPr="00FE7A3F">
          <w:rPr>
            <w:rStyle w:val="Hyperlink"/>
          </w:rPr>
          <w:t>https://www.aplmf.org/canada.html</w:t>
        </w:r>
      </w:hyperlink>
      <w:r>
        <w:t xml:space="preserve"> </w:t>
      </w:r>
    </w:p>
  </w:footnote>
  <w:footnote w:id="34">
    <w:p w14:paraId="538C06E2" w14:textId="031EBFEA" w:rsidR="009A2266" w:rsidRDefault="009A2266">
      <w:pPr>
        <w:pStyle w:val="FootnoteText"/>
      </w:pPr>
      <w:r>
        <w:rPr>
          <w:rStyle w:val="FootnoteReference"/>
        </w:rPr>
        <w:footnoteRef/>
      </w:r>
      <w:r>
        <w:t xml:space="preserve"> </w:t>
      </w:r>
      <w:hyperlink r:id="rId4" w:tooltip="United Kingdom website link" w:history="1">
        <w:r w:rsidRPr="00FE7A3F">
          <w:rPr>
            <w:rStyle w:val="Hyperlink"/>
          </w:rPr>
          <w:t>https://www.gov.uk/weights-measures-and-packaging-the-law/specified-quantities</w:t>
        </w:r>
      </w:hyperlink>
      <w:r>
        <w:t xml:space="preserve"> </w:t>
      </w:r>
    </w:p>
  </w:footnote>
  <w:footnote w:id="35">
    <w:p w14:paraId="7D6135B4" w14:textId="4B7E6DA4" w:rsidR="009A2266" w:rsidRDefault="009A2266">
      <w:pPr>
        <w:pStyle w:val="FootnoteText"/>
      </w:pPr>
      <w:r>
        <w:rPr>
          <w:rStyle w:val="FootnoteReference"/>
        </w:rPr>
        <w:footnoteRef/>
      </w:r>
      <w:r>
        <w:t xml:space="preserve"> </w:t>
      </w:r>
      <w:hyperlink r:id="rId5" w:tooltip="Asia-Pacific Legal Metrology Forum" w:history="1">
        <w:r w:rsidRPr="00FE7A3F">
          <w:rPr>
            <w:rStyle w:val="Hyperlink"/>
          </w:rPr>
          <w:t>https://www.aplmf.org/japan.html</w:t>
        </w:r>
      </w:hyperlink>
      <w:r>
        <w:t xml:space="preserve"> </w:t>
      </w:r>
    </w:p>
  </w:footnote>
  <w:footnote w:id="36">
    <w:p w14:paraId="48558749" w14:textId="1CD29303" w:rsidR="009A2266" w:rsidRPr="008D2AF6" w:rsidRDefault="009A2266">
      <w:pPr>
        <w:pStyle w:val="FootnoteText"/>
      </w:pPr>
      <w:r>
        <w:rPr>
          <w:rStyle w:val="FootnoteReference"/>
        </w:rPr>
        <w:footnoteRef/>
      </w:r>
      <w:r>
        <w:t xml:space="preserve"> Section 18 of the </w:t>
      </w:r>
      <w:r>
        <w:rPr>
          <w:i/>
        </w:rPr>
        <w:t>Weights and Measures Act</w:t>
      </w:r>
      <w:r>
        <w:t xml:space="preserve"> (Cap 349, 1985 Rev Ed) (Singapore).</w:t>
      </w:r>
    </w:p>
  </w:footnote>
  <w:footnote w:id="37">
    <w:p w14:paraId="1D3C86DB" w14:textId="7B481918" w:rsidR="009A2266" w:rsidRPr="004C6C2B" w:rsidRDefault="009A2266">
      <w:pPr>
        <w:pStyle w:val="FootnoteText"/>
      </w:pPr>
      <w:r>
        <w:rPr>
          <w:rStyle w:val="FootnoteReference"/>
        </w:rPr>
        <w:footnoteRef/>
      </w:r>
      <w:r>
        <w:t xml:space="preserve"> </w:t>
      </w:r>
      <w:r>
        <w:rPr>
          <w:i/>
        </w:rPr>
        <w:t>Weights and Measures (Sale of Goods in Metric Units) Order</w:t>
      </w:r>
      <w:r>
        <w:t xml:space="preserve"> made under section 16 of the </w:t>
      </w:r>
      <w:r>
        <w:rPr>
          <w:i/>
        </w:rPr>
        <w:t>Weights and Measures Act</w:t>
      </w:r>
      <w:r>
        <w:t xml:space="preserve"> (Cap 349, 1985 Rev Ed) (Singapore).</w:t>
      </w:r>
    </w:p>
  </w:footnote>
  <w:footnote w:id="38">
    <w:p w14:paraId="697650CA" w14:textId="33BCF534" w:rsidR="009A2266" w:rsidRDefault="009A2266">
      <w:pPr>
        <w:pStyle w:val="FootnoteText"/>
      </w:pPr>
      <w:r>
        <w:rPr>
          <w:rStyle w:val="FootnoteReference"/>
        </w:rPr>
        <w:footnoteRef/>
      </w:r>
      <w:r>
        <w:t xml:space="preserve"> Sections 18JA, 18JB, 18JC and 18JD of the Act and regulation 4.9 of the NTMR.</w:t>
      </w:r>
    </w:p>
  </w:footnote>
  <w:footnote w:id="39">
    <w:p w14:paraId="2B7F5F74" w14:textId="77777777" w:rsidR="009A2266" w:rsidRDefault="009A2266" w:rsidP="00A66EB3">
      <w:pPr>
        <w:pStyle w:val="FootnoteText"/>
      </w:pPr>
      <w:r>
        <w:rPr>
          <w:rStyle w:val="FootnoteReference"/>
        </w:rPr>
        <w:footnoteRef/>
      </w:r>
      <w:r>
        <w:t xml:space="preserve"> Section 18JE of the Act and regulation 4.13 of the NTMR.</w:t>
      </w:r>
    </w:p>
  </w:footnote>
  <w:footnote w:id="40">
    <w:p w14:paraId="58BB9F34" w14:textId="59FC6CF2" w:rsidR="009A2266" w:rsidRDefault="009A2266">
      <w:pPr>
        <w:pStyle w:val="FootnoteText"/>
      </w:pPr>
      <w:r>
        <w:rPr>
          <w:rStyle w:val="FootnoteReference"/>
        </w:rPr>
        <w:footnoteRef/>
      </w:r>
      <w:r>
        <w:t xml:space="preserve"> Regulation 4.13 in combination with Item 2 of Schedule 6.</w:t>
      </w:r>
    </w:p>
  </w:footnote>
  <w:footnote w:id="41">
    <w:p w14:paraId="58527E16" w14:textId="77777777" w:rsidR="009A2266" w:rsidRDefault="009A2266" w:rsidP="00A66EB3">
      <w:pPr>
        <w:pStyle w:val="FootnoteText"/>
      </w:pPr>
      <w:r>
        <w:rPr>
          <w:rStyle w:val="FootnoteReference"/>
        </w:rPr>
        <w:footnoteRef/>
      </w:r>
      <w:r>
        <w:t xml:space="preserve"> Schedule 4 &amp; 5, NTMR.</w:t>
      </w:r>
    </w:p>
  </w:footnote>
  <w:footnote w:id="42">
    <w:p w14:paraId="376D1585" w14:textId="015E217D" w:rsidR="009A2266" w:rsidRDefault="009A2266">
      <w:pPr>
        <w:pStyle w:val="FootnoteText"/>
      </w:pPr>
      <w:r>
        <w:rPr>
          <w:rStyle w:val="FootnoteReference"/>
        </w:rPr>
        <w:footnoteRef/>
      </w:r>
      <w:r>
        <w:t xml:space="preserve"> This list is issued and maintained under sub-regulations 4.13(4) and (5) of the NTMR.</w:t>
      </w:r>
    </w:p>
  </w:footnote>
  <w:footnote w:id="43">
    <w:p w14:paraId="35B1ACFF" w14:textId="75F72978" w:rsidR="009A2266" w:rsidRDefault="009A2266" w:rsidP="00C71245">
      <w:pPr>
        <w:pStyle w:val="FootnoteText"/>
      </w:pPr>
      <w:r>
        <w:rPr>
          <w:rStyle w:val="FootnoteReference"/>
        </w:rPr>
        <w:footnoteRef/>
      </w:r>
      <w:r>
        <w:t xml:space="preserve"> A table of these goods can be found in Schedule 5 of the NTMR.</w:t>
      </w:r>
    </w:p>
  </w:footnote>
  <w:footnote w:id="44">
    <w:p w14:paraId="503B8936" w14:textId="77777777" w:rsidR="009A2266" w:rsidRDefault="009A2266" w:rsidP="00A66EB3">
      <w:pPr>
        <w:pStyle w:val="FootnoteText"/>
      </w:pPr>
      <w:r>
        <w:rPr>
          <w:rStyle w:val="FootnoteReference"/>
        </w:rPr>
        <w:footnoteRef/>
      </w:r>
      <w:r>
        <w:t xml:space="preserve"> Regulation 4.13 in combination with Item 8 of Schedule 5 and Item 1 of Schedule 6 of the NTMR.</w:t>
      </w:r>
    </w:p>
  </w:footnote>
  <w:footnote w:id="45">
    <w:p w14:paraId="03090F43" w14:textId="6E83CF08" w:rsidR="009A2266" w:rsidRDefault="009A2266">
      <w:pPr>
        <w:pStyle w:val="FootnoteText"/>
      </w:pPr>
      <w:r>
        <w:rPr>
          <w:rStyle w:val="FootnoteReference"/>
        </w:rPr>
        <w:footnoteRef/>
      </w:r>
      <w:r>
        <w:t xml:space="preserve"> Sub-regulation 4.4(1) exempts packages containing products listed in Schedule 4 from Division 4.3 – Marking of name and address and Division 4.4 – Marking of measurement of the NTMR.</w:t>
      </w:r>
    </w:p>
  </w:footnote>
  <w:footnote w:id="46">
    <w:p w14:paraId="7EAC4F26" w14:textId="5041DD5A" w:rsidR="009A2266" w:rsidRDefault="009A2266">
      <w:pPr>
        <w:pStyle w:val="FootnoteText"/>
      </w:pPr>
      <w:r>
        <w:rPr>
          <w:rStyle w:val="FootnoteReference"/>
        </w:rPr>
        <w:footnoteRef/>
      </w:r>
      <w:r>
        <w:t xml:space="preserve"> Sub-regulation 4.4(1) in combination with Item 5.7 of Schedule 4 of the NTMR.</w:t>
      </w:r>
    </w:p>
  </w:footnote>
  <w:footnote w:id="47">
    <w:p w14:paraId="564BB59E" w14:textId="50F917B6" w:rsidR="009A2266" w:rsidRDefault="009A2266">
      <w:pPr>
        <w:pStyle w:val="FootnoteText"/>
      </w:pPr>
      <w:r>
        <w:rPr>
          <w:rStyle w:val="FootnoteReference"/>
        </w:rPr>
        <w:footnoteRef/>
      </w:r>
      <w:r>
        <w:t xml:space="preserve"> Sub-regulation 4.13(2) of the NTMR.</w:t>
      </w:r>
    </w:p>
  </w:footnote>
  <w:footnote w:id="48">
    <w:p w14:paraId="1730A63C" w14:textId="77777777" w:rsidR="009A2266" w:rsidRDefault="009A2266" w:rsidP="00A66EB3">
      <w:pPr>
        <w:pStyle w:val="FootnoteText"/>
      </w:pPr>
      <w:r>
        <w:rPr>
          <w:rStyle w:val="FootnoteReference"/>
        </w:rPr>
        <w:footnoteRef/>
      </w:r>
      <w:r>
        <w:t xml:space="preserve"> Sub-regulation 4.13(3) of the NTMR.</w:t>
      </w:r>
    </w:p>
  </w:footnote>
  <w:footnote w:id="49">
    <w:p w14:paraId="6550E005" w14:textId="1E3716CC" w:rsidR="009A2266" w:rsidRPr="00312955" w:rsidRDefault="009A2266">
      <w:pPr>
        <w:pStyle w:val="FootnoteText"/>
      </w:pPr>
      <w:r>
        <w:rPr>
          <w:rStyle w:val="FootnoteReference"/>
        </w:rPr>
        <w:footnoteRef/>
      </w:r>
      <w:r>
        <w:t xml:space="preserve"> Section 21 of the </w:t>
      </w:r>
      <w:r>
        <w:rPr>
          <w:i/>
        </w:rPr>
        <w:t>Consumer Packaging and Labelling Regulations</w:t>
      </w:r>
      <w:r>
        <w:t>, CRC, c 417 (Canada).</w:t>
      </w:r>
    </w:p>
  </w:footnote>
  <w:footnote w:id="50">
    <w:p w14:paraId="00D03BBC" w14:textId="693DE16B" w:rsidR="009A2266" w:rsidRDefault="009A2266">
      <w:pPr>
        <w:pStyle w:val="FootnoteText"/>
      </w:pPr>
      <w:r>
        <w:rPr>
          <w:rStyle w:val="FootnoteReference"/>
        </w:rPr>
        <w:footnoteRef/>
      </w:r>
      <w:r>
        <w:t xml:space="preserve"> Subsection 22(1) of the </w:t>
      </w:r>
      <w:r>
        <w:rPr>
          <w:i/>
        </w:rPr>
        <w:t>Consumer Packaging and Labelling Regulations</w:t>
      </w:r>
      <w:r>
        <w:t>, CRC, c 417 (Canada).</w:t>
      </w:r>
    </w:p>
  </w:footnote>
  <w:footnote w:id="51">
    <w:p w14:paraId="7BB4335A" w14:textId="5FD32125" w:rsidR="009A2266" w:rsidRPr="001E4973" w:rsidRDefault="009A2266">
      <w:pPr>
        <w:pStyle w:val="FootnoteText"/>
      </w:pPr>
      <w:r>
        <w:rPr>
          <w:rStyle w:val="FootnoteReference"/>
        </w:rPr>
        <w:footnoteRef/>
      </w:r>
      <w:r>
        <w:t xml:space="preserve"> Sub-regulation 8(1) of </w:t>
      </w:r>
      <w:r>
        <w:rPr>
          <w:i/>
        </w:rPr>
        <w:t>The Weights and Measures (Packaged Goods) Regulations 2006</w:t>
      </w:r>
      <w:r>
        <w:t xml:space="preserve"> (SI 2006/659) (United Kingdom).</w:t>
      </w:r>
    </w:p>
  </w:footnote>
  <w:footnote w:id="52">
    <w:p w14:paraId="544CAC84" w14:textId="07007A26" w:rsidR="009A2266" w:rsidRDefault="009A2266">
      <w:pPr>
        <w:pStyle w:val="FootnoteText"/>
      </w:pPr>
      <w:r>
        <w:rPr>
          <w:rStyle w:val="FootnoteReference"/>
        </w:rPr>
        <w:footnoteRef/>
      </w:r>
      <w:r>
        <w:t xml:space="preserve"> Sub-regulation 8(2) of </w:t>
      </w:r>
      <w:r>
        <w:rPr>
          <w:i/>
        </w:rPr>
        <w:t>The Weights and Measures (Packaged Goods) Regulations 2006</w:t>
      </w:r>
      <w:r>
        <w:t xml:space="preserve"> (SI 2006/659) (United Kingdom).</w:t>
      </w:r>
    </w:p>
  </w:footnote>
  <w:footnote w:id="53">
    <w:p w14:paraId="4AE37464" w14:textId="5DF90A44" w:rsidR="009A2266" w:rsidRDefault="009A2266">
      <w:pPr>
        <w:pStyle w:val="FootnoteText"/>
      </w:pPr>
      <w:r>
        <w:rPr>
          <w:rStyle w:val="FootnoteReference"/>
        </w:rPr>
        <w:footnoteRef/>
      </w:r>
      <w:r>
        <w:t xml:space="preserve"> Section 18JJ of the Act and regulation 4.1 of the NTMR define the AQS mark. It must be in the form set out in Schedule 3 of the NTMR.</w:t>
      </w:r>
    </w:p>
  </w:footnote>
  <w:footnote w:id="54">
    <w:p w14:paraId="057F70ED" w14:textId="22450936" w:rsidR="009A2266" w:rsidRDefault="009A2266">
      <w:pPr>
        <w:pStyle w:val="FootnoteText"/>
      </w:pPr>
      <w:r>
        <w:rPr>
          <w:rStyle w:val="FootnoteReference"/>
        </w:rPr>
        <w:footnoteRef/>
      </w:r>
      <w:r>
        <w:t xml:space="preserve"> ‘Tolerable deficiency’ is the deficiency in the quantity of product permitted in a package for the AQS method. In Australia the tolerable deficiency appropriate for the nominal quantity of the packaged products is determined using the table in regulation 4.36 of the NTMR.</w:t>
      </w:r>
    </w:p>
  </w:footnote>
  <w:footnote w:id="55">
    <w:p w14:paraId="524A6038" w14:textId="6F64F356" w:rsidR="009A2266" w:rsidRPr="00371A1A" w:rsidRDefault="009A2266">
      <w:pPr>
        <w:pStyle w:val="FootnoteText"/>
      </w:pPr>
      <w:r>
        <w:rPr>
          <w:rStyle w:val="FootnoteReference"/>
        </w:rPr>
        <w:footnoteRef/>
      </w:r>
      <w:r>
        <w:t xml:space="preserve"> Packaged products in New Zealand are tested</w:t>
      </w:r>
      <w:r w:rsidRPr="002278B3">
        <w:t xml:space="preserve"> in accordance with </w:t>
      </w:r>
      <w:r>
        <w:t xml:space="preserve">a variation of the </w:t>
      </w:r>
      <w:r w:rsidRPr="002278B3">
        <w:t>AQS procedure.</w:t>
      </w:r>
      <w:r>
        <w:t xml:space="preserve"> The procedure is set out in Part 6A of the </w:t>
      </w:r>
      <w:r>
        <w:rPr>
          <w:i/>
        </w:rPr>
        <w:t>Weights and Measures Regulations 1999</w:t>
      </w:r>
      <w:r>
        <w:t xml:space="preserve"> (New Zealand).</w:t>
      </w:r>
    </w:p>
  </w:footnote>
  <w:footnote w:id="56">
    <w:p w14:paraId="2EE839BD" w14:textId="7A8AF744" w:rsidR="009A2266" w:rsidRDefault="009A2266" w:rsidP="00252322">
      <w:pPr>
        <w:pStyle w:val="FootnoteText"/>
      </w:pPr>
      <w:r>
        <w:rPr>
          <w:rStyle w:val="FootnoteReference"/>
        </w:rPr>
        <w:footnoteRef/>
      </w:r>
      <w:r>
        <w:t xml:space="preserve"> </w:t>
      </w:r>
      <w:r w:rsidRPr="002278B3">
        <w:t xml:space="preserve">Australia is obligated under the </w:t>
      </w:r>
      <w:r w:rsidRPr="002278B3">
        <w:rPr>
          <w:i/>
        </w:rPr>
        <w:t>Trans-Tasman Mutual Recognition Act 1997</w:t>
      </w:r>
      <w:r>
        <w:rPr>
          <w:i/>
        </w:rPr>
        <w:t xml:space="preserve"> </w:t>
      </w:r>
      <w:r w:rsidRPr="002278B3">
        <w:t xml:space="preserve">to </w:t>
      </w:r>
      <w:r>
        <w:t>accept</w:t>
      </w:r>
      <w:r w:rsidRPr="002278B3">
        <w:t xml:space="preserve"> </w:t>
      </w:r>
      <w:r>
        <w:t>goods</w:t>
      </w:r>
      <w:r w:rsidRPr="002278B3">
        <w:t xml:space="preserve"> imported from New Zealand</w:t>
      </w:r>
      <w:r>
        <w:t xml:space="preserve"> where they are compliant with New Zealand law.</w:t>
      </w:r>
    </w:p>
  </w:footnote>
  <w:footnote w:id="57">
    <w:p w14:paraId="792484FF" w14:textId="1C4F27B5" w:rsidR="009A2266" w:rsidRDefault="009A2266">
      <w:pPr>
        <w:pStyle w:val="FootnoteText"/>
      </w:pPr>
      <w:r>
        <w:rPr>
          <w:rStyle w:val="FootnoteReference"/>
        </w:rPr>
        <w:footnoteRef/>
      </w:r>
      <w:r>
        <w:t xml:space="preserve"> The requirements for AQS sampling and testing for the purposes of Subdivision 3-C of Division 3 of Part VI of the Act are included in Subdivision 1 of Division 4.7 of the NTMR and the ‘Sampling and Test Procedures for Prepackaged Products’ determined by the Chief Metrologist under section 19Q subsections (1)(a) and (b) of the Act.</w:t>
      </w:r>
    </w:p>
  </w:footnote>
  <w:footnote w:id="58">
    <w:p w14:paraId="6744F11C" w14:textId="71AE9A96" w:rsidR="009A2266" w:rsidRDefault="009A2266">
      <w:pPr>
        <w:pStyle w:val="FootnoteText"/>
      </w:pPr>
      <w:r>
        <w:rPr>
          <w:rStyle w:val="FootnoteReference"/>
        </w:rPr>
        <w:footnoteRef/>
      </w:r>
      <w:r>
        <w:t xml:space="preserve"> The AQS thresholds are outlined </w:t>
      </w:r>
      <w:r w:rsidR="00E73225">
        <w:t xml:space="preserve">in </w:t>
      </w:r>
      <w:r>
        <w:t>regulation 4.34 of the NTMR.</w:t>
      </w:r>
    </w:p>
  </w:footnote>
  <w:footnote w:id="59">
    <w:p w14:paraId="74BC2D64" w14:textId="23B305E0" w:rsidR="009A2266" w:rsidRDefault="009A2266" w:rsidP="00B4269B">
      <w:pPr>
        <w:pStyle w:val="FootnoteText"/>
      </w:pPr>
      <w:r>
        <w:rPr>
          <w:rStyle w:val="FootnoteReference"/>
        </w:rPr>
        <w:footnoteRef/>
      </w:r>
      <w:r>
        <w:t xml:space="preserve"> The requirements for sampling and testing of packages not marked with an AQS mark for the purposes of Subdivision 4-B of Division 4 of Part VI of the Act are included in Subdivision 2 of Division 4.7 of the NTMR and the ‘Sampling and Test Procedures for Prepackaged Products’ determined by the Chief Metrologist under section 19Q subsections (1) (c), (d) and (e) of the Act.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0B4F14" w14:textId="77777777" w:rsidR="006C5B78" w:rsidRDefault="006C5B7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4514B"/>
    <w:multiLevelType w:val="hybridMultilevel"/>
    <w:tmpl w:val="02887DF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0259410A"/>
    <w:multiLevelType w:val="hybridMultilevel"/>
    <w:tmpl w:val="DF3E045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3A615DA"/>
    <w:multiLevelType w:val="hybridMultilevel"/>
    <w:tmpl w:val="070A899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7A62A28"/>
    <w:multiLevelType w:val="hybridMultilevel"/>
    <w:tmpl w:val="F9B4171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0BEC0868"/>
    <w:multiLevelType w:val="hybridMultilevel"/>
    <w:tmpl w:val="6960143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0CA12E6E"/>
    <w:multiLevelType w:val="hybridMultilevel"/>
    <w:tmpl w:val="DF1AA2F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089086C"/>
    <w:multiLevelType w:val="hybridMultilevel"/>
    <w:tmpl w:val="AE0EF4D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0D43F09"/>
    <w:multiLevelType w:val="hybridMultilevel"/>
    <w:tmpl w:val="0AA0E7A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12267F24"/>
    <w:multiLevelType w:val="hybridMultilevel"/>
    <w:tmpl w:val="D7FA32F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13D57FA6"/>
    <w:multiLevelType w:val="hybridMultilevel"/>
    <w:tmpl w:val="34D65648"/>
    <w:lvl w:ilvl="0" w:tplc="0C090001">
      <w:start w:val="1"/>
      <w:numFmt w:val="bullet"/>
      <w:lvlText w:val=""/>
      <w:lvlJc w:val="left"/>
      <w:pPr>
        <w:ind w:left="720" w:hanging="360"/>
      </w:pPr>
      <w:rPr>
        <w:rFonts w:ascii="Symbol" w:hAnsi="Symbo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15813C92"/>
    <w:multiLevelType w:val="hybridMultilevel"/>
    <w:tmpl w:val="CA06DB5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17874645"/>
    <w:multiLevelType w:val="hybridMultilevel"/>
    <w:tmpl w:val="36E087DE"/>
    <w:lvl w:ilvl="0" w:tplc="0C090001">
      <w:start w:val="1"/>
      <w:numFmt w:val="bullet"/>
      <w:lvlText w:val=""/>
      <w:lvlJc w:val="left"/>
      <w:pPr>
        <w:ind w:left="1146" w:hanging="360"/>
      </w:pPr>
      <w:rPr>
        <w:rFonts w:ascii="Symbol" w:hAnsi="Symbol" w:hint="default"/>
      </w:rPr>
    </w:lvl>
    <w:lvl w:ilvl="1" w:tplc="0C090003" w:tentative="1">
      <w:start w:val="1"/>
      <w:numFmt w:val="bullet"/>
      <w:lvlText w:val="o"/>
      <w:lvlJc w:val="left"/>
      <w:pPr>
        <w:ind w:left="1866" w:hanging="360"/>
      </w:pPr>
      <w:rPr>
        <w:rFonts w:ascii="Courier New" w:hAnsi="Courier New" w:cs="Courier New" w:hint="default"/>
      </w:rPr>
    </w:lvl>
    <w:lvl w:ilvl="2" w:tplc="0C090005" w:tentative="1">
      <w:start w:val="1"/>
      <w:numFmt w:val="bullet"/>
      <w:lvlText w:val=""/>
      <w:lvlJc w:val="left"/>
      <w:pPr>
        <w:ind w:left="2586" w:hanging="360"/>
      </w:pPr>
      <w:rPr>
        <w:rFonts w:ascii="Wingdings" w:hAnsi="Wingdings" w:hint="default"/>
      </w:rPr>
    </w:lvl>
    <w:lvl w:ilvl="3" w:tplc="0C090001" w:tentative="1">
      <w:start w:val="1"/>
      <w:numFmt w:val="bullet"/>
      <w:lvlText w:val=""/>
      <w:lvlJc w:val="left"/>
      <w:pPr>
        <w:ind w:left="3306" w:hanging="360"/>
      </w:pPr>
      <w:rPr>
        <w:rFonts w:ascii="Symbol" w:hAnsi="Symbol" w:hint="default"/>
      </w:rPr>
    </w:lvl>
    <w:lvl w:ilvl="4" w:tplc="0C090003" w:tentative="1">
      <w:start w:val="1"/>
      <w:numFmt w:val="bullet"/>
      <w:lvlText w:val="o"/>
      <w:lvlJc w:val="left"/>
      <w:pPr>
        <w:ind w:left="4026" w:hanging="360"/>
      </w:pPr>
      <w:rPr>
        <w:rFonts w:ascii="Courier New" w:hAnsi="Courier New" w:cs="Courier New" w:hint="default"/>
      </w:rPr>
    </w:lvl>
    <w:lvl w:ilvl="5" w:tplc="0C090005" w:tentative="1">
      <w:start w:val="1"/>
      <w:numFmt w:val="bullet"/>
      <w:lvlText w:val=""/>
      <w:lvlJc w:val="left"/>
      <w:pPr>
        <w:ind w:left="4746" w:hanging="360"/>
      </w:pPr>
      <w:rPr>
        <w:rFonts w:ascii="Wingdings" w:hAnsi="Wingdings" w:hint="default"/>
      </w:rPr>
    </w:lvl>
    <w:lvl w:ilvl="6" w:tplc="0C090001" w:tentative="1">
      <w:start w:val="1"/>
      <w:numFmt w:val="bullet"/>
      <w:lvlText w:val=""/>
      <w:lvlJc w:val="left"/>
      <w:pPr>
        <w:ind w:left="5466" w:hanging="360"/>
      </w:pPr>
      <w:rPr>
        <w:rFonts w:ascii="Symbol" w:hAnsi="Symbol" w:hint="default"/>
      </w:rPr>
    </w:lvl>
    <w:lvl w:ilvl="7" w:tplc="0C090003" w:tentative="1">
      <w:start w:val="1"/>
      <w:numFmt w:val="bullet"/>
      <w:lvlText w:val="o"/>
      <w:lvlJc w:val="left"/>
      <w:pPr>
        <w:ind w:left="6186" w:hanging="360"/>
      </w:pPr>
      <w:rPr>
        <w:rFonts w:ascii="Courier New" w:hAnsi="Courier New" w:cs="Courier New" w:hint="default"/>
      </w:rPr>
    </w:lvl>
    <w:lvl w:ilvl="8" w:tplc="0C090005" w:tentative="1">
      <w:start w:val="1"/>
      <w:numFmt w:val="bullet"/>
      <w:lvlText w:val=""/>
      <w:lvlJc w:val="left"/>
      <w:pPr>
        <w:ind w:left="6906" w:hanging="360"/>
      </w:pPr>
      <w:rPr>
        <w:rFonts w:ascii="Wingdings" w:hAnsi="Wingdings" w:hint="default"/>
      </w:rPr>
    </w:lvl>
  </w:abstractNum>
  <w:abstractNum w:abstractNumId="12" w15:restartNumberingAfterBreak="0">
    <w:nsid w:val="1AD05BDF"/>
    <w:multiLevelType w:val="hybridMultilevel"/>
    <w:tmpl w:val="6BF62FB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1BB06188"/>
    <w:multiLevelType w:val="hybridMultilevel"/>
    <w:tmpl w:val="F7ECCF1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1EA845E3"/>
    <w:multiLevelType w:val="hybridMultilevel"/>
    <w:tmpl w:val="AF1C49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1EB66027"/>
    <w:multiLevelType w:val="hybridMultilevel"/>
    <w:tmpl w:val="F334B4E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1EFC6CB2"/>
    <w:multiLevelType w:val="hybridMultilevel"/>
    <w:tmpl w:val="9732C184"/>
    <w:lvl w:ilvl="0" w:tplc="0C090001">
      <w:start w:val="1"/>
      <w:numFmt w:val="bullet"/>
      <w:lvlText w:val=""/>
      <w:lvlJc w:val="left"/>
      <w:pPr>
        <w:ind w:left="1146" w:hanging="360"/>
      </w:pPr>
      <w:rPr>
        <w:rFonts w:ascii="Symbol" w:hAnsi="Symbol" w:hint="default"/>
      </w:rPr>
    </w:lvl>
    <w:lvl w:ilvl="1" w:tplc="0C090003" w:tentative="1">
      <w:start w:val="1"/>
      <w:numFmt w:val="bullet"/>
      <w:lvlText w:val="o"/>
      <w:lvlJc w:val="left"/>
      <w:pPr>
        <w:ind w:left="1866" w:hanging="360"/>
      </w:pPr>
      <w:rPr>
        <w:rFonts w:ascii="Courier New" w:hAnsi="Courier New" w:cs="Courier New" w:hint="default"/>
      </w:rPr>
    </w:lvl>
    <w:lvl w:ilvl="2" w:tplc="0C090005" w:tentative="1">
      <w:start w:val="1"/>
      <w:numFmt w:val="bullet"/>
      <w:lvlText w:val=""/>
      <w:lvlJc w:val="left"/>
      <w:pPr>
        <w:ind w:left="2586" w:hanging="360"/>
      </w:pPr>
      <w:rPr>
        <w:rFonts w:ascii="Wingdings" w:hAnsi="Wingdings" w:hint="default"/>
      </w:rPr>
    </w:lvl>
    <w:lvl w:ilvl="3" w:tplc="0C090001" w:tentative="1">
      <w:start w:val="1"/>
      <w:numFmt w:val="bullet"/>
      <w:lvlText w:val=""/>
      <w:lvlJc w:val="left"/>
      <w:pPr>
        <w:ind w:left="3306" w:hanging="360"/>
      </w:pPr>
      <w:rPr>
        <w:rFonts w:ascii="Symbol" w:hAnsi="Symbol" w:hint="default"/>
      </w:rPr>
    </w:lvl>
    <w:lvl w:ilvl="4" w:tplc="0C090003" w:tentative="1">
      <w:start w:val="1"/>
      <w:numFmt w:val="bullet"/>
      <w:lvlText w:val="o"/>
      <w:lvlJc w:val="left"/>
      <w:pPr>
        <w:ind w:left="4026" w:hanging="360"/>
      </w:pPr>
      <w:rPr>
        <w:rFonts w:ascii="Courier New" w:hAnsi="Courier New" w:cs="Courier New" w:hint="default"/>
      </w:rPr>
    </w:lvl>
    <w:lvl w:ilvl="5" w:tplc="0C090005" w:tentative="1">
      <w:start w:val="1"/>
      <w:numFmt w:val="bullet"/>
      <w:lvlText w:val=""/>
      <w:lvlJc w:val="left"/>
      <w:pPr>
        <w:ind w:left="4746" w:hanging="360"/>
      </w:pPr>
      <w:rPr>
        <w:rFonts w:ascii="Wingdings" w:hAnsi="Wingdings" w:hint="default"/>
      </w:rPr>
    </w:lvl>
    <w:lvl w:ilvl="6" w:tplc="0C090001" w:tentative="1">
      <w:start w:val="1"/>
      <w:numFmt w:val="bullet"/>
      <w:lvlText w:val=""/>
      <w:lvlJc w:val="left"/>
      <w:pPr>
        <w:ind w:left="5466" w:hanging="360"/>
      </w:pPr>
      <w:rPr>
        <w:rFonts w:ascii="Symbol" w:hAnsi="Symbol" w:hint="default"/>
      </w:rPr>
    </w:lvl>
    <w:lvl w:ilvl="7" w:tplc="0C090003" w:tentative="1">
      <w:start w:val="1"/>
      <w:numFmt w:val="bullet"/>
      <w:lvlText w:val="o"/>
      <w:lvlJc w:val="left"/>
      <w:pPr>
        <w:ind w:left="6186" w:hanging="360"/>
      </w:pPr>
      <w:rPr>
        <w:rFonts w:ascii="Courier New" w:hAnsi="Courier New" w:cs="Courier New" w:hint="default"/>
      </w:rPr>
    </w:lvl>
    <w:lvl w:ilvl="8" w:tplc="0C090005" w:tentative="1">
      <w:start w:val="1"/>
      <w:numFmt w:val="bullet"/>
      <w:lvlText w:val=""/>
      <w:lvlJc w:val="left"/>
      <w:pPr>
        <w:ind w:left="6906" w:hanging="360"/>
      </w:pPr>
      <w:rPr>
        <w:rFonts w:ascii="Wingdings" w:hAnsi="Wingdings" w:hint="default"/>
      </w:rPr>
    </w:lvl>
  </w:abstractNum>
  <w:abstractNum w:abstractNumId="17" w15:restartNumberingAfterBreak="0">
    <w:nsid w:val="1F5A7844"/>
    <w:multiLevelType w:val="hybridMultilevel"/>
    <w:tmpl w:val="9A2AAB2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21706CCE"/>
    <w:multiLevelType w:val="hybridMultilevel"/>
    <w:tmpl w:val="F63633D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21A86AC4"/>
    <w:multiLevelType w:val="hybridMultilevel"/>
    <w:tmpl w:val="C8A0448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24A86829"/>
    <w:multiLevelType w:val="hybridMultilevel"/>
    <w:tmpl w:val="5F64F28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265C48ED"/>
    <w:multiLevelType w:val="hybridMultilevel"/>
    <w:tmpl w:val="D53A9E2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283E1775"/>
    <w:multiLevelType w:val="hybridMultilevel"/>
    <w:tmpl w:val="147AEFB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288D6C93"/>
    <w:multiLevelType w:val="hybridMultilevel"/>
    <w:tmpl w:val="4434D97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29AC5A5D"/>
    <w:multiLevelType w:val="hybridMultilevel"/>
    <w:tmpl w:val="BC02299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2AAF42E4"/>
    <w:multiLevelType w:val="hybridMultilevel"/>
    <w:tmpl w:val="A96046A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2BF33DB8"/>
    <w:multiLevelType w:val="hybridMultilevel"/>
    <w:tmpl w:val="DE0C165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2C236B24"/>
    <w:multiLevelType w:val="hybridMultilevel"/>
    <w:tmpl w:val="17D25BF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2E400FFA"/>
    <w:multiLevelType w:val="hybridMultilevel"/>
    <w:tmpl w:val="C0DE86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2F242173"/>
    <w:multiLevelType w:val="hybridMultilevel"/>
    <w:tmpl w:val="5ED44F10"/>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0" w15:restartNumberingAfterBreak="0">
    <w:nsid w:val="30793C2F"/>
    <w:multiLevelType w:val="hybridMultilevel"/>
    <w:tmpl w:val="24EE147A"/>
    <w:lvl w:ilvl="0" w:tplc="0C090001">
      <w:start w:val="1"/>
      <w:numFmt w:val="bullet"/>
      <w:lvlText w:val=""/>
      <w:lvlJc w:val="left"/>
      <w:pPr>
        <w:ind w:left="1146" w:hanging="360"/>
      </w:pPr>
      <w:rPr>
        <w:rFonts w:ascii="Symbol" w:hAnsi="Symbol" w:hint="default"/>
      </w:rPr>
    </w:lvl>
    <w:lvl w:ilvl="1" w:tplc="0C090003" w:tentative="1">
      <w:start w:val="1"/>
      <w:numFmt w:val="bullet"/>
      <w:lvlText w:val="o"/>
      <w:lvlJc w:val="left"/>
      <w:pPr>
        <w:ind w:left="1866" w:hanging="360"/>
      </w:pPr>
      <w:rPr>
        <w:rFonts w:ascii="Courier New" w:hAnsi="Courier New" w:cs="Courier New" w:hint="default"/>
      </w:rPr>
    </w:lvl>
    <w:lvl w:ilvl="2" w:tplc="0C090005" w:tentative="1">
      <w:start w:val="1"/>
      <w:numFmt w:val="bullet"/>
      <w:lvlText w:val=""/>
      <w:lvlJc w:val="left"/>
      <w:pPr>
        <w:ind w:left="2586" w:hanging="360"/>
      </w:pPr>
      <w:rPr>
        <w:rFonts w:ascii="Wingdings" w:hAnsi="Wingdings" w:hint="default"/>
      </w:rPr>
    </w:lvl>
    <w:lvl w:ilvl="3" w:tplc="0C090001" w:tentative="1">
      <w:start w:val="1"/>
      <w:numFmt w:val="bullet"/>
      <w:lvlText w:val=""/>
      <w:lvlJc w:val="left"/>
      <w:pPr>
        <w:ind w:left="3306" w:hanging="360"/>
      </w:pPr>
      <w:rPr>
        <w:rFonts w:ascii="Symbol" w:hAnsi="Symbol" w:hint="default"/>
      </w:rPr>
    </w:lvl>
    <w:lvl w:ilvl="4" w:tplc="0C090003" w:tentative="1">
      <w:start w:val="1"/>
      <w:numFmt w:val="bullet"/>
      <w:lvlText w:val="o"/>
      <w:lvlJc w:val="left"/>
      <w:pPr>
        <w:ind w:left="4026" w:hanging="360"/>
      </w:pPr>
      <w:rPr>
        <w:rFonts w:ascii="Courier New" w:hAnsi="Courier New" w:cs="Courier New" w:hint="default"/>
      </w:rPr>
    </w:lvl>
    <w:lvl w:ilvl="5" w:tplc="0C090005" w:tentative="1">
      <w:start w:val="1"/>
      <w:numFmt w:val="bullet"/>
      <w:lvlText w:val=""/>
      <w:lvlJc w:val="left"/>
      <w:pPr>
        <w:ind w:left="4746" w:hanging="360"/>
      </w:pPr>
      <w:rPr>
        <w:rFonts w:ascii="Wingdings" w:hAnsi="Wingdings" w:hint="default"/>
      </w:rPr>
    </w:lvl>
    <w:lvl w:ilvl="6" w:tplc="0C090001" w:tentative="1">
      <w:start w:val="1"/>
      <w:numFmt w:val="bullet"/>
      <w:lvlText w:val=""/>
      <w:lvlJc w:val="left"/>
      <w:pPr>
        <w:ind w:left="5466" w:hanging="360"/>
      </w:pPr>
      <w:rPr>
        <w:rFonts w:ascii="Symbol" w:hAnsi="Symbol" w:hint="default"/>
      </w:rPr>
    </w:lvl>
    <w:lvl w:ilvl="7" w:tplc="0C090003" w:tentative="1">
      <w:start w:val="1"/>
      <w:numFmt w:val="bullet"/>
      <w:lvlText w:val="o"/>
      <w:lvlJc w:val="left"/>
      <w:pPr>
        <w:ind w:left="6186" w:hanging="360"/>
      </w:pPr>
      <w:rPr>
        <w:rFonts w:ascii="Courier New" w:hAnsi="Courier New" w:cs="Courier New" w:hint="default"/>
      </w:rPr>
    </w:lvl>
    <w:lvl w:ilvl="8" w:tplc="0C090005" w:tentative="1">
      <w:start w:val="1"/>
      <w:numFmt w:val="bullet"/>
      <w:lvlText w:val=""/>
      <w:lvlJc w:val="left"/>
      <w:pPr>
        <w:ind w:left="6906" w:hanging="360"/>
      </w:pPr>
      <w:rPr>
        <w:rFonts w:ascii="Wingdings" w:hAnsi="Wingdings" w:hint="default"/>
      </w:rPr>
    </w:lvl>
  </w:abstractNum>
  <w:abstractNum w:abstractNumId="31" w15:restartNumberingAfterBreak="0">
    <w:nsid w:val="30927B41"/>
    <w:multiLevelType w:val="hybridMultilevel"/>
    <w:tmpl w:val="720E26C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2" w15:restartNumberingAfterBreak="0">
    <w:nsid w:val="365C23E3"/>
    <w:multiLevelType w:val="hybridMultilevel"/>
    <w:tmpl w:val="EE54D0EA"/>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33" w15:restartNumberingAfterBreak="0">
    <w:nsid w:val="36883099"/>
    <w:multiLevelType w:val="hybridMultilevel"/>
    <w:tmpl w:val="56F2D57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37445CEA"/>
    <w:multiLevelType w:val="hybridMultilevel"/>
    <w:tmpl w:val="83E0874E"/>
    <w:lvl w:ilvl="0" w:tplc="0C090001">
      <w:start w:val="1"/>
      <w:numFmt w:val="bullet"/>
      <w:lvlText w:val=""/>
      <w:lvlJc w:val="left"/>
      <w:pPr>
        <w:ind w:left="778" w:hanging="360"/>
      </w:pPr>
      <w:rPr>
        <w:rFonts w:ascii="Symbol" w:hAnsi="Symbol" w:hint="default"/>
      </w:rPr>
    </w:lvl>
    <w:lvl w:ilvl="1" w:tplc="0C090003" w:tentative="1">
      <w:start w:val="1"/>
      <w:numFmt w:val="bullet"/>
      <w:lvlText w:val="o"/>
      <w:lvlJc w:val="left"/>
      <w:pPr>
        <w:ind w:left="1498" w:hanging="360"/>
      </w:pPr>
      <w:rPr>
        <w:rFonts w:ascii="Courier New" w:hAnsi="Courier New" w:cs="Courier New" w:hint="default"/>
      </w:rPr>
    </w:lvl>
    <w:lvl w:ilvl="2" w:tplc="0C090005" w:tentative="1">
      <w:start w:val="1"/>
      <w:numFmt w:val="bullet"/>
      <w:lvlText w:val=""/>
      <w:lvlJc w:val="left"/>
      <w:pPr>
        <w:ind w:left="2218" w:hanging="360"/>
      </w:pPr>
      <w:rPr>
        <w:rFonts w:ascii="Wingdings" w:hAnsi="Wingdings" w:hint="default"/>
      </w:rPr>
    </w:lvl>
    <w:lvl w:ilvl="3" w:tplc="0C090001" w:tentative="1">
      <w:start w:val="1"/>
      <w:numFmt w:val="bullet"/>
      <w:lvlText w:val=""/>
      <w:lvlJc w:val="left"/>
      <w:pPr>
        <w:ind w:left="2938" w:hanging="360"/>
      </w:pPr>
      <w:rPr>
        <w:rFonts w:ascii="Symbol" w:hAnsi="Symbol" w:hint="default"/>
      </w:rPr>
    </w:lvl>
    <w:lvl w:ilvl="4" w:tplc="0C090003" w:tentative="1">
      <w:start w:val="1"/>
      <w:numFmt w:val="bullet"/>
      <w:lvlText w:val="o"/>
      <w:lvlJc w:val="left"/>
      <w:pPr>
        <w:ind w:left="3658" w:hanging="360"/>
      </w:pPr>
      <w:rPr>
        <w:rFonts w:ascii="Courier New" w:hAnsi="Courier New" w:cs="Courier New" w:hint="default"/>
      </w:rPr>
    </w:lvl>
    <w:lvl w:ilvl="5" w:tplc="0C090005" w:tentative="1">
      <w:start w:val="1"/>
      <w:numFmt w:val="bullet"/>
      <w:lvlText w:val=""/>
      <w:lvlJc w:val="left"/>
      <w:pPr>
        <w:ind w:left="4378" w:hanging="360"/>
      </w:pPr>
      <w:rPr>
        <w:rFonts w:ascii="Wingdings" w:hAnsi="Wingdings" w:hint="default"/>
      </w:rPr>
    </w:lvl>
    <w:lvl w:ilvl="6" w:tplc="0C090001" w:tentative="1">
      <w:start w:val="1"/>
      <w:numFmt w:val="bullet"/>
      <w:lvlText w:val=""/>
      <w:lvlJc w:val="left"/>
      <w:pPr>
        <w:ind w:left="5098" w:hanging="360"/>
      </w:pPr>
      <w:rPr>
        <w:rFonts w:ascii="Symbol" w:hAnsi="Symbol" w:hint="default"/>
      </w:rPr>
    </w:lvl>
    <w:lvl w:ilvl="7" w:tplc="0C090003" w:tentative="1">
      <w:start w:val="1"/>
      <w:numFmt w:val="bullet"/>
      <w:lvlText w:val="o"/>
      <w:lvlJc w:val="left"/>
      <w:pPr>
        <w:ind w:left="5818" w:hanging="360"/>
      </w:pPr>
      <w:rPr>
        <w:rFonts w:ascii="Courier New" w:hAnsi="Courier New" w:cs="Courier New" w:hint="default"/>
      </w:rPr>
    </w:lvl>
    <w:lvl w:ilvl="8" w:tplc="0C090005" w:tentative="1">
      <w:start w:val="1"/>
      <w:numFmt w:val="bullet"/>
      <w:lvlText w:val=""/>
      <w:lvlJc w:val="left"/>
      <w:pPr>
        <w:ind w:left="6538" w:hanging="360"/>
      </w:pPr>
      <w:rPr>
        <w:rFonts w:ascii="Wingdings" w:hAnsi="Wingdings" w:hint="default"/>
      </w:rPr>
    </w:lvl>
  </w:abstractNum>
  <w:abstractNum w:abstractNumId="35" w15:restartNumberingAfterBreak="0">
    <w:nsid w:val="3B0745AE"/>
    <w:multiLevelType w:val="hybridMultilevel"/>
    <w:tmpl w:val="82E2B4EA"/>
    <w:lvl w:ilvl="0" w:tplc="0C09000F">
      <w:start w:val="1"/>
      <w:numFmt w:val="decimal"/>
      <w:lvlText w:val="%1."/>
      <w:lvlJc w:val="left"/>
      <w:pPr>
        <w:ind w:left="720" w:hanging="360"/>
      </w:pPr>
      <w:rPr>
        <w:rFonts w:hint="default"/>
        <w:b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6" w15:restartNumberingAfterBreak="0">
    <w:nsid w:val="3B770661"/>
    <w:multiLevelType w:val="hybridMultilevel"/>
    <w:tmpl w:val="DE086BB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15:restartNumberingAfterBreak="0">
    <w:nsid w:val="3C9E43D1"/>
    <w:multiLevelType w:val="hybridMultilevel"/>
    <w:tmpl w:val="DF24FCB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8" w15:restartNumberingAfterBreak="0">
    <w:nsid w:val="3F1C5796"/>
    <w:multiLevelType w:val="hybridMultilevel"/>
    <w:tmpl w:val="9BA0B43E"/>
    <w:lvl w:ilvl="0" w:tplc="0C090001">
      <w:start w:val="1"/>
      <w:numFmt w:val="bullet"/>
      <w:lvlText w:val=""/>
      <w:lvlJc w:val="left"/>
      <w:pPr>
        <w:ind w:left="774" w:hanging="360"/>
      </w:pPr>
      <w:rPr>
        <w:rFonts w:ascii="Symbol" w:hAnsi="Symbol" w:hint="default"/>
      </w:rPr>
    </w:lvl>
    <w:lvl w:ilvl="1" w:tplc="0C090003" w:tentative="1">
      <w:start w:val="1"/>
      <w:numFmt w:val="bullet"/>
      <w:lvlText w:val="o"/>
      <w:lvlJc w:val="left"/>
      <w:pPr>
        <w:ind w:left="1494" w:hanging="360"/>
      </w:pPr>
      <w:rPr>
        <w:rFonts w:ascii="Courier New" w:hAnsi="Courier New" w:cs="Courier New" w:hint="default"/>
      </w:rPr>
    </w:lvl>
    <w:lvl w:ilvl="2" w:tplc="0C090005" w:tentative="1">
      <w:start w:val="1"/>
      <w:numFmt w:val="bullet"/>
      <w:lvlText w:val=""/>
      <w:lvlJc w:val="left"/>
      <w:pPr>
        <w:ind w:left="2214" w:hanging="360"/>
      </w:pPr>
      <w:rPr>
        <w:rFonts w:ascii="Wingdings" w:hAnsi="Wingdings" w:hint="default"/>
      </w:rPr>
    </w:lvl>
    <w:lvl w:ilvl="3" w:tplc="0C090001" w:tentative="1">
      <w:start w:val="1"/>
      <w:numFmt w:val="bullet"/>
      <w:lvlText w:val=""/>
      <w:lvlJc w:val="left"/>
      <w:pPr>
        <w:ind w:left="2934" w:hanging="360"/>
      </w:pPr>
      <w:rPr>
        <w:rFonts w:ascii="Symbol" w:hAnsi="Symbol" w:hint="default"/>
      </w:rPr>
    </w:lvl>
    <w:lvl w:ilvl="4" w:tplc="0C090003" w:tentative="1">
      <w:start w:val="1"/>
      <w:numFmt w:val="bullet"/>
      <w:lvlText w:val="o"/>
      <w:lvlJc w:val="left"/>
      <w:pPr>
        <w:ind w:left="3654" w:hanging="360"/>
      </w:pPr>
      <w:rPr>
        <w:rFonts w:ascii="Courier New" w:hAnsi="Courier New" w:cs="Courier New" w:hint="default"/>
      </w:rPr>
    </w:lvl>
    <w:lvl w:ilvl="5" w:tplc="0C090005" w:tentative="1">
      <w:start w:val="1"/>
      <w:numFmt w:val="bullet"/>
      <w:lvlText w:val=""/>
      <w:lvlJc w:val="left"/>
      <w:pPr>
        <w:ind w:left="4374" w:hanging="360"/>
      </w:pPr>
      <w:rPr>
        <w:rFonts w:ascii="Wingdings" w:hAnsi="Wingdings" w:hint="default"/>
      </w:rPr>
    </w:lvl>
    <w:lvl w:ilvl="6" w:tplc="0C090001" w:tentative="1">
      <w:start w:val="1"/>
      <w:numFmt w:val="bullet"/>
      <w:lvlText w:val=""/>
      <w:lvlJc w:val="left"/>
      <w:pPr>
        <w:ind w:left="5094" w:hanging="360"/>
      </w:pPr>
      <w:rPr>
        <w:rFonts w:ascii="Symbol" w:hAnsi="Symbol" w:hint="default"/>
      </w:rPr>
    </w:lvl>
    <w:lvl w:ilvl="7" w:tplc="0C090003" w:tentative="1">
      <w:start w:val="1"/>
      <w:numFmt w:val="bullet"/>
      <w:lvlText w:val="o"/>
      <w:lvlJc w:val="left"/>
      <w:pPr>
        <w:ind w:left="5814" w:hanging="360"/>
      </w:pPr>
      <w:rPr>
        <w:rFonts w:ascii="Courier New" w:hAnsi="Courier New" w:cs="Courier New" w:hint="default"/>
      </w:rPr>
    </w:lvl>
    <w:lvl w:ilvl="8" w:tplc="0C090005" w:tentative="1">
      <w:start w:val="1"/>
      <w:numFmt w:val="bullet"/>
      <w:lvlText w:val=""/>
      <w:lvlJc w:val="left"/>
      <w:pPr>
        <w:ind w:left="6534" w:hanging="360"/>
      </w:pPr>
      <w:rPr>
        <w:rFonts w:ascii="Wingdings" w:hAnsi="Wingdings" w:hint="default"/>
      </w:rPr>
    </w:lvl>
  </w:abstractNum>
  <w:abstractNum w:abstractNumId="39" w15:restartNumberingAfterBreak="0">
    <w:nsid w:val="417C062F"/>
    <w:multiLevelType w:val="hybridMultilevel"/>
    <w:tmpl w:val="C91A67C2"/>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40" w15:restartNumberingAfterBreak="0">
    <w:nsid w:val="424346C8"/>
    <w:multiLevelType w:val="hybridMultilevel"/>
    <w:tmpl w:val="5FFE0A14"/>
    <w:lvl w:ilvl="0" w:tplc="0C090001">
      <w:start w:val="1"/>
      <w:numFmt w:val="bullet"/>
      <w:lvlText w:val=""/>
      <w:lvlJc w:val="left"/>
      <w:pPr>
        <w:ind w:left="1800" w:hanging="360"/>
      </w:pPr>
      <w:rPr>
        <w:rFonts w:ascii="Symbol" w:hAnsi="Symbol" w:hint="default"/>
      </w:rPr>
    </w:lvl>
    <w:lvl w:ilvl="1" w:tplc="0C090003" w:tentative="1">
      <w:start w:val="1"/>
      <w:numFmt w:val="bullet"/>
      <w:lvlText w:val="o"/>
      <w:lvlJc w:val="left"/>
      <w:pPr>
        <w:ind w:left="2520" w:hanging="360"/>
      </w:pPr>
      <w:rPr>
        <w:rFonts w:ascii="Courier New" w:hAnsi="Courier New" w:cs="Courier New" w:hint="default"/>
      </w:rPr>
    </w:lvl>
    <w:lvl w:ilvl="2" w:tplc="0C090005" w:tentative="1">
      <w:start w:val="1"/>
      <w:numFmt w:val="bullet"/>
      <w:lvlText w:val=""/>
      <w:lvlJc w:val="left"/>
      <w:pPr>
        <w:ind w:left="3240" w:hanging="360"/>
      </w:pPr>
      <w:rPr>
        <w:rFonts w:ascii="Wingdings" w:hAnsi="Wingdings" w:hint="default"/>
      </w:rPr>
    </w:lvl>
    <w:lvl w:ilvl="3" w:tplc="0C090001" w:tentative="1">
      <w:start w:val="1"/>
      <w:numFmt w:val="bullet"/>
      <w:lvlText w:val=""/>
      <w:lvlJc w:val="left"/>
      <w:pPr>
        <w:ind w:left="3960" w:hanging="360"/>
      </w:pPr>
      <w:rPr>
        <w:rFonts w:ascii="Symbol" w:hAnsi="Symbol" w:hint="default"/>
      </w:rPr>
    </w:lvl>
    <w:lvl w:ilvl="4" w:tplc="0C090003" w:tentative="1">
      <w:start w:val="1"/>
      <w:numFmt w:val="bullet"/>
      <w:lvlText w:val="o"/>
      <w:lvlJc w:val="left"/>
      <w:pPr>
        <w:ind w:left="4680" w:hanging="360"/>
      </w:pPr>
      <w:rPr>
        <w:rFonts w:ascii="Courier New" w:hAnsi="Courier New" w:cs="Courier New" w:hint="default"/>
      </w:rPr>
    </w:lvl>
    <w:lvl w:ilvl="5" w:tplc="0C090005" w:tentative="1">
      <w:start w:val="1"/>
      <w:numFmt w:val="bullet"/>
      <w:lvlText w:val=""/>
      <w:lvlJc w:val="left"/>
      <w:pPr>
        <w:ind w:left="5400" w:hanging="360"/>
      </w:pPr>
      <w:rPr>
        <w:rFonts w:ascii="Wingdings" w:hAnsi="Wingdings" w:hint="default"/>
      </w:rPr>
    </w:lvl>
    <w:lvl w:ilvl="6" w:tplc="0C090001" w:tentative="1">
      <w:start w:val="1"/>
      <w:numFmt w:val="bullet"/>
      <w:lvlText w:val=""/>
      <w:lvlJc w:val="left"/>
      <w:pPr>
        <w:ind w:left="6120" w:hanging="360"/>
      </w:pPr>
      <w:rPr>
        <w:rFonts w:ascii="Symbol" w:hAnsi="Symbol" w:hint="default"/>
      </w:rPr>
    </w:lvl>
    <w:lvl w:ilvl="7" w:tplc="0C090003" w:tentative="1">
      <w:start w:val="1"/>
      <w:numFmt w:val="bullet"/>
      <w:lvlText w:val="o"/>
      <w:lvlJc w:val="left"/>
      <w:pPr>
        <w:ind w:left="6840" w:hanging="360"/>
      </w:pPr>
      <w:rPr>
        <w:rFonts w:ascii="Courier New" w:hAnsi="Courier New" w:cs="Courier New" w:hint="default"/>
      </w:rPr>
    </w:lvl>
    <w:lvl w:ilvl="8" w:tplc="0C090005" w:tentative="1">
      <w:start w:val="1"/>
      <w:numFmt w:val="bullet"/>
      <w:lvlText w:val=""/>
      <w:lvlJc w:val="left"/>
      <w:pPr>
        <w:ind w:left="7560" w:hanging="360"/>
      </w:pPr>
      <w:rPr>
        <w:rFonts w:ascii="Wingdings" w:hAnsi="Wingdings" w:hint="default"/>
      </w:rPr>
    </w:lvl>
  </w:abstractNum>
  <w:abstractNum w:abstractNumId="41" w15:restartNumberingAfterBreak="0">
    <w:nsid w:val="424F02BB"/>
    <w:multiLevelType w:val="hybridMultilevel"/>
    <w:tmpl w:val="4D5064BE"/>
    <w:lvl w:ilvl="0" w:tplc="AAC017EE">
      <w:start w:val="3"/>
      <w:numFmt w:val="bullet"/>
      <w:lvlText w:val=""/>
      <w:lvlJc w:val="left"/>
      <w:pPr>
        <w:ind w:left="720" w:hanging="360"/>
      </w:pPr>
      <w:rPr>
        <w:rFonts w:ascii="Symbol" w:eastAsiaTheme="minorHAnsi" w:hAnsi="Symbol"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2" w15:restartNumberingAfterBreak="0">
    <w:nsid w:val="458B32A1"/>
    <w:multiLevelType w:val="hybridMultilevel"/>
    <w:tmpl w:val="035E7552"/>
    <w:lvl w:ilvl="0" w:tplc="D2082472">
      <w:start w:val="8"/>
      <w:numFmt w:val="decimal"/>
      <w:lvlText w:val="%1."/>
      <w:lvlJc w:val="left"/>
      <w:pPr>
        <w:ind w:left="720" w:hanging="360"/>
      </w:pPr>
      <w:rPr>
        <w:rFonts w:hint="default"/>
        <w:b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3" w15:restartNumberingAfterBreak="0">
    <w:nsid w:val="48C03A97"/>
    <w:multiLevelType w:val="hybridMultilevel"/>
    <w:tmpl w:val="0776857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4" w15:restartNumberingAfterBreak="0">
    <w:nsid w:val="492679E8"/>
    <w:multiLevelType w:val="hybridMultilevel"/>
    <w:tmpl w:val="EC1221B4"/>
    <w:lvl w:ilvl="0" w:tplc="0C090001">
      <w:start w:val="1"/>
      <w:numFmt w:val="bullet"/>
      <w:lvlText w:val=""/>
      <w:lvlJc w:val="left"/>
      <w:pPr>
        <w:ind w:left="2160" w:hanging="360"/>
      </w:pPr>
      <w:rPr>
        <w:rFonts w:ascii="Symbol" w:hAnsi="Symbol" w:hint="default"/>
      </w:rPr>
    </w:lvl>
    <w:lvl w:ilvl="1" w:tplc="0C090019" w:tentative="1">
      <w:start w:val="1"/>
      <w:numFmt w:val="lowerLetter"/>
      <w:lvlText w:val="%2."/>
      <w:lvlJc w:val="left"/>
      <w:pPr>
        <w:ind w:left="2880" w:hanging="360"/>
      </w:pPr>
    </w:lvl>
    <w:lvl w:ilvl="2" w:tplc="0C09001B" w:tentative="1">
      <w:start w:val="1"/>
      <w:numFmt w:val="lowerRoman"/>
      <w:lvlText w:val="%3."/>
      <w:lvlJc w:val="right"/>
      <w:pPr>
        <w:ind w:left="3600" w:hanging="180"/>
      </w:pPr>
    </w:lvl>
    <w:lvl w:ilvl="3" w:tplc="0C09000F" w:tentative="1">
      <w:start w:val="1"/>
      <w:numFmt w:val="decimal"/>
      <w:lvlText w:val="%4."/>
      <w:lvlJc w:val="left"/>
      <w:pPr>
        <w:ind w:left="4320" w:hanging="360"/>
      </w:pPr>
    </w:lvl>
    <w:lvl w:ilvl="4" w:tplc="0C090019" w:tentative="1">
      <w:start w:val="1"/>
      <w:numFmt w:val="lowerLetter"/>
      <w:lvlText w:val="%5."/>
      <w:lvlJc w:val="left"/>
      <w:pPr>
        <w:ind w:left="5040" w:hanging="360"/>
      </w:pPr>
    </w:lvl>
    <w:lvl w:ilvl="5" w:tplc="0C09001B" w:tentative="1">
      <w:start w:val="1"/>
      <w:numFmt w:val="lowerRoman"/>
      <w:lvlText w:val="%6."/>
      <w:lvlJc w:val="right"/>
      <w:pPr>
        <w:ind w:left="5760" w:hanging="180"/>
      </w:pPr>
    </w:lvl>
    <w:lvl w:ilvl="6" w:tplc="0C09000F" w:tentative="1">
      <w:start w:val="1"/>
      <w:numFmt w:val="decimal"/>
      <w:lvlText w:val="%7."/>
      <w:lvlJc w:val="left"/>
      <w:pPr>
        <w:ind w:left="6480" w:hanging="360"/>
      </w:pPr>
    </w:lvl>
    <w:lvl w:ilvl="7" w:tplc="0C090019" w:tentative="1">
      <w:start w:val="1"/>
      <w:numFmt w:val="lowerLetter"/>
      <w:lvlText w:val="%8."/>
      <w:lvlJc w:val="left"/>
      <w:pPr>
        <w:ind w:left="7200" w:hanging="360"/>
      </w:pPr>
    </w:lvl>
    <w:lvl w:ilvl="8" w:tplc="0C09001B" w:tentative="1">
      <w:start w:val="1"/>
      <w:numFmt w:val="lowerRoman"/>
      <w:lvlText w:val="%9."/>
      <w:lvlJc w:val="right"/>
      <w:pPr>
        <w:ind w:left="7920" w:hanging="180"/>
      </w:pPr>
    </w:lvl>
  </w:abstractNum>
  <w:abstractNum w:abstractNumId="45" w15:restartNumberingAfterBreak="0">
    <w:nsid w:val="4AB013DE"/>
    <w:multiLevelType w:val="hybridMultilevel"/>
    <w:tmpl w:val="D5B6283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6" w15:restartNumberingAfterBreak="0">
    <w:nsid w:val="4D6D24DB"/>
    <w:multiLevelType w:val="hybridMultilevel"/>
    <w:tmpl w:val="50F08C9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7" w15:restartNumberingAfterBreak="0">
    <w:nsid w:val="4F757538"/>
    <w:multiLevelType w:val="hybridMultilevel"/>
    <w:tmpl w:val="4D74AA2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8" w15:restartNumberingAfterBreak="0">
    <w:nsid w:val="50D420CD"/>
    <w:multiLevelType w:val="hybridMultilevel"/>
    <w:tmpl w:val="9A2AAB2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9" w15:restartNumberingAfterBreak="0">
    <w:nsid w:val="52414E61"/>
    <w:multiLevelType w:val="hybridMultilevel"/>
    <w:tmpl w:val="1AE28E5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0" w15:restartNumberingAfterBreak="0">
    <w:nsid w:val="54644D12"/>
    <w:multiLevelType w:val="hybridMultilevel"/>
    <w:tmpl w:val="067AF8F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1" w15:restartNumberingAfterBreak="0">
    <w:nsid w:val="564A0F93"/>
    <w:multiLevelType w:val="hybridMultilevel"/>
    <w:tmpl w:val="7EE23352"/>
    <w:lvl w:ilvl="0" w:tplc="0C090001">
      <w:start w:val="1"/>
      <w:numFmt w:val="bullet"/>
      <w:lvlText w:val=""/>
      <w:lvlJc w:val="left"/>
      <w:pPr>
        <w:ind w:left="1146" w:hanging="360"/>
      </w:pPr>
      <w:rPr>
        <w:rFonts w:ascii="Symbol" w:hAnsi="Symbol" w:hint="default"/>
      </w:rPr>
    </w:lvl>
    <w:lvl w:ilvl="1" w:tplc="0C090003" w:tentative="1">
      <w:start w:val="1"/>
      <w:numFmt w:val="bullet"/>
      <w:lvlText w:val="o"/>
      <w:lvlJc w:val="left"/>
      <w:pPr>
        <w:ind w:left="1866" w:hanging="360"/>
      </w:pPr>
      <w:rPr>
        <w:rFonts w:ascii="Courier New" w:hAnsi="Courier New" w:cs="Courier New" w:hint="default"/>
      </w:rPr>
    </w:lvl>
    <w:lvl w:ilvl="2" w:tplc="0C090005" w:tentative="1">
      <w:start w:val="1"/>
      <w:numFmt w:val="bullet"/>
      <w:lvlText w:val=""/>
      <w:lvlJc w:val="left"/>
      <w:pPr>
        <w:ind w:left="2586" w:hanging="360"/>
      </w:pPr>
      <w:rPr>
        <w:rFonts w:ascii="Wingdings" w:hAnsi="Wingdings" w:hint="default"/>
      </w:rPr>
    </w:lvl>
    <w:lvl w:ilvl="3" w:tplc="0C090001" w:tentative="1">
      <w:start w:val="1"/>
      <w:numFmt w:val="bullet"/>
      <w:lvlText w:val=""/>
      <w:lvlJc w:val="left"/>
      <w:pPr>
        <w:ind w:left="3306" w:hanging="360"/>
      </w:pPr>
      <w:rPr>
        <w:rFonts w:ascii="Symbol" w:hAnsi="Symbol" w:hint="default"/>
      </w:rPr>
    </w:lvl>
    <w:lvl w:ilvl="4" w:tplc="0C090003" w:tentative="1">
      <w:start w:val="1"/>
      <w:numFmt w:val="bullet"/>
      <w:lvlText w:val="o"/>
      <w:lvlJc w:val="left"/>
      <w:pPr>
        <w:ind w:left="4026" w:hanging="360"/>
      </w:pPr>
      <w:rPr>
        <w:rFonts w:ascii="Courier New" w:hAnsi="Courier New" w:cs="Courier New" w:hint="default"/>
      </w:rPr>
    </w:lvl>
    <w:lvl w:ilvl="5" w:tplc="0C090005" w:tentative="1">
      <w:start w:val="1"/>
      <w:numFmt w:val="bullet"/>
      <w:lvlText w:val=""/>
      <w:lvlJc w:val="left"/>
      <w:pPr>
        <w:ind w:left="4746" w:hanging="360"/>
      </w:pPr>
      <w:rPr>
        <w:rFonts w:ascii="Wingdings" w:hAnsi="Wingdings" w:hint="default"/>
      </w:rPr>
    </w:lvl>
    <w:lvl w:ilvl="6" w:tplc="0C090001" w:tentative="1">
      <w:start w:val="1"/>
      <w:numFmt w:val="bullet"/>
      <w:lvlText w:val=""/>
      <w:lvlJc w:val="left"/>
      <w:pPr>
        <w:ind w:left="5466" w:hanging="360"/>
      </w:pPr>
      <w:rPr>
        <w:rFonts w:ascii="Symbol" w:hAnsi="Symbol" w:hint="default"/>
      </w:rPr>
    </w:lvl>
    <w:lvl w:ilvl="7" w:tplc="0C090003" w:tentative="1">
      <w:start w:val="1"/>
      <w:numFmt w:val="bullet"/>
      <w:lvlText w:val="o"/>
      <w:lvlJc w:val="left"/>
      <w:pPr>
        <w:ind w:left="6186" w:hanging="360"/>
      </w:pPr>
      <w:rPr>
        <w:rFonts w:ascii="Courier New" w:hAnsi="Courier New" w:cs="Courier New" w:hint="default"/>
      </w:rPr>
    </w:lvl>
    <w:lvl w:ilvl="8" w:tplc="0C090005" w:tentative="1">
      <w:start w:val="1"/>
      <w:numFmt w:val="bullet"/>
      <w:lvlText w:val=""/>
      <w:lvlJc w:val="left"/>
      <w:pPr>
        <w:ind w:left="6906" w:hanging="360"/>
      </w:pPr>
      <w:rPr>
        <w:rFonts w:ascii="Wingdings" w:hAnsi="Wingdings" w:hint="default"/>
      </w:rPr>
    </w:lvl>
  </w:abstractNum>
  <w:abstractNum w:abstractNumId="52" w15:restartNumberingAfterBreak="0">
    <w:nsid w:val="56B0698B"/>
    <w:multiLevelType w:val="hybridMultilevel"/>
    <w:tmpl w:val="A804550C"/>
    <w:lvl w:ilvl="0" w:tplc="0C090001">
      <w:start w:val="1"/>
      <w:numFmt w:val="bullet"/>
      <w:lvlText w:val=""/>
      <w:lvlJc w:val="left"/>
      <w:pPr>
        <w:ind w:left="1146" w:hanging="360"/>
      </w:pPr>
      <w:rPr>
        <w:rFonts w:ascii="Symbol" w:hAnsi="Symbol" w:hint="default"/>
      </w:rPr>
    </w:lvl>
    <w:lvl w:ilvl="1" w:tplc="0C090003" w:tentative="1">
      <w:start w:val="1"/>
      <w:numFmt w:val="bullet"/>
      <w:lvlText w:val="o"/>
      <w:lvlJc w:val="left"/>
      <w:pPr>
        <w:ind w:left="1866" w:hanging="360"/>
      </w:pPr>
      <w:rPr>
        <w:rFonts w:ascii="Courier New" w:hAnsi="Courier New" w:cs="Courier New" w:hint="default"/>
      </w:rPr>
    </w:lvl>
    <w:lvl w:ilvl="2" w:tplc="0C090005" w:tentative="1">
      <w:start w:val="1"/>
      <w:numFmt w:val="bullet"/>
      <w:lvlText w:val=""/>
      <w:lvlJc w:val="left"/>
      <w:pPr>
        <w:ind w:left="2586" w:hanging="360"/>
      </w:pPr>
      <w:rPr>
        <w:rFonts w:ascii="Wingdings" w:hAnsi="Wingdings" w:hint="default"/>
      </w:rPr>
    </w:lvl>
    <w:lvl w:ilvl="3" w:tplc="0C090001" w:tentative="1">
      <w:start w:val="1"/>
      <w:numFmt w:val="bullet"/>
      <w:lvlText w:val=""/>
      <w:lvlJc w:val="left"/>
      <w:pPr>
        <w:ind w:left="3306" w:hanging="360"/>
      </w:pPr>
      <w:rPr>
        <w:rFonts w:ascii="Symbol" w:hAnsi="Symbol" w:hint="default"/>
      </w:rPr>
    </w:lvl>
    <w:lvl w:ilvl="4" w:tplc="0C090003" w:tentative="1">
      <w:start w:val="1"/>
      <w:numFmt w:val="bullet"/>
      <w:lvlText w:val="o"/>
      <w:lvlJc w:val="left"/>
      <w:pPr>
        <w:ind w:left="4026" w:hanging="360"/>
      </w:pPr>
      <w:rPr>
        <w:rFonts w:ascii="Courier New" w:hAnsi="Courier New" w:cs="Courier New" w:hint="default"/>
      </w:rPr>
    </w:lvl>
    <w:lvl w:ilvl="5" w:tplc="0C090005" w:tentative="1">
      <w:start w:val="1"/>
      <w:numFmt w:val="bullet"/>
      <w:lvlText w:val=""/>
      <w:lvlJc w:val="left"/>
      <w:pPr>
        <w:ind w:left="4746" w:hanging="360"/>
      </w:pPr>
      <w:rPr>
        <w:rFonts w:ascii="Wingdings" w:hAnsi="Wingdings" w:hint="default"/>
      </w:rPr>
    </w:lvl>
    <w:lvl w:ilvl="6" w:tplc="0C090001" w:tentative="1">
      <w:start w:val="1"/>
      <w:numFmt w:val="bullet"/>
      <w:lvlText w:val=""/>
      <w:lvlJc w:val="left"/>
      <w:pPr>
        <w:ind w:left="5466" w:hanging="360"/>
      </w:pPr>
      <w:rPr>
        <w:rFonts w:ascii="Symbol" w:hAnsi="Symbol" w:hint="default"/>
      </w:rPr>
    </w:lvl>
    <w:lvl w:ilvl="7" w:tplc="0C090003" w:tentative="1">
      <w:start w:val="1"/>
      <w:numFmt w:val="bullet"/>
      <w:lvlText w:val="o"/>
      <w:lvlJc w:val="left"/>
      <w:pPr>
        <w:ind w:left="6186" w:hanging="360"/>
      </w:pPr>
      <w:rPr>
        <w:rFonts w:ascii="Courier New" w:hAnsi="Courier New" w:cs="Courier New" w:hint="default"/>
      </w:rPr>
    </w:lvl>
    <w:lvl w:ilvl="8" w:tplc="0C090005" w:tentative="1">
      <w:start w:val="1"/>
      <w:numFmt w:val="bullet"/>
      <w:lvlText w:val=""/>
      <w:lvlJc w:val="left"/>
      <w:pPr>
        <w:ind w:left="6906" w:hanging="360"/>
      </w:pPr>
      <w:rPr>
        <w:rFonts w:ascii="Wingdings" w:hAnsi="Wingdings" w:hint="default"/>
      </w:rPr>
    </w:lvl>
  </w:abstractNum>
  <w:abstractNum w:abstractNumId="53" w15:restartNumberingAfterBreak="0">
    <w:nsid w:val="56C47330"/>
    <w:multiLevelType w:val="hybridMultilevel"/>
    <w:tmpl w:val="CB4A941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4" w15:restartNumberingAfterBreak="0">
    <w:nsid w:val="57367DF5"/>
    <w:multiLevelType w:val="hybridMultilevel"/>
    <w:tmpl w:val="DE48075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5" w15:restartNumberingAfterBreak="0">
    <w:nsid w:val="57C30E39"/>
    <w:multiLevelType w:val="hybridMultilevel"/>
    <w:tmpl w:val="BA98D402"/>
    <w:lvl w:ilvl="0" w:tplc="0C090001">
      <w:start w:val="1"/>
      <w:numFmt w:val="bullet"/>
      <w:lvlText w:val=""/>
      <w:lvlJc w:val="left"/>
      <w:pPr>
        <w:ind w:left="769" w:hanging="360"/>
      </w:pPr>
      <w:rPr>
        <w:rFonts w:ascii="Symbol" w:hAnsi="Symbol" w:hint="default"/>
      </w:rPr>
    </w:lvl>
    <w:lvl w:ilvl="1" w:tplc="0C090003" w:tentative="1">
      <w:start w:val="1"/>
      <w:numFmt w:val="bullet"/>
      <w:lvlText w:val="o"/>
      <w:lvlJc w:val="left"/>
      <w:pPr>
        <w:ind w:left="1489" w:hanging="360"/>
      </w:pPr>
      <w:rPr>
        <w:rFonts w:ascii="Courier New" w:hAnsi="Courier New" w:cs="Courier New" w:hint="default"/>
      </w:rPr>
    </w:lvl>
    <w:lvl w:ilvl="2" w:tplc="0C090005" w:tentative="1">
      <w:start w:val="1"/>
      <w:numFmt w:val="bullet"/>
      <w:lvlText w:val=""/>
      <w:lvlJc w:val="left"/>
      <w:pPr>
        <w:ind w:left="2209" w:hanging="360"/>
      </w:pPr>
      <w:rPr>
        <w:rFonts w:ascii="Wingdings" w:hAnsi="Wingdings" w:hint="default"/>
      </w:rPr>
    </w:lvl>
    <w:lvl w:ilvl="3" w:tplc="0C090001" w:tentative="1">
      <w:start w:val="1"/>
      <w:numFmt w:val="bullet"/>
      <w:lvlText w:val=""/>
      <w:lvlJc w:val="left"/>
      <w:pPr>
        <w:ind w:left="2929" w:hanging="360"/>
      </w:pPr>
      <w:rPr>
        <w:rFonts w:ascii="Symbol" w:hAnsi="Symbol" w:hint="default"/>
      </w:rPr>
    </w:lvl>
    <w:lvl w:ilvl="4" w:tplc="0C090003" w:tentative="1">
      <w:start w:val="1"/>
      <w:numFmt w:val="bullet"/>
      <w:lvlText w:val="o"/>
      <w:lvlJc w:val="left"/>
      <w:pPr>
        <w:ind w:left="3649" w:hanging="360"/>
      </w:pPr>
      <w:rPr>
        <w:rFonts w:ascii="Courier New" w:hAnsi="Courier New" w:cs="Courier New" w:hint="default"/>
      </w:rPr>
    </w:lvl>
    <w:lvl w:ilvl="5" w:tplc="0C090005" w:tentative="1">
      <w:start w:val="1"/>
      <w:numFmt w:val="bullet"/>
      <w:lvlText w:val=""/>
      <w:lvlJc w:val="left"/>
      <w:pPr>
        <w:ind w:left="4369" w:hanging="360"/>
      </w:pPr>
      <w:rPr>
        <w:rFonts w:ascii="Wingdings" w:hAnsi="Wingdings" w:hint="default"/>
      </w:rPr>
    </w:lvl>
    <w:lvl w:ilvl="6" w:tplc="0C090001" w:tentative="1">
      <w:start w:val="1"/>
      <w:numFmt w:val="bullet"/>
      <w:lvlText w:val=""/>
      <w:lvlJc w:val="left"/>
      <w:pPr>
        <w:ind w:left="5089" w:hanging="360"/>
      </w:pPr>
      <w:rPr>
        <w:rFonts w:ascii="Symbol" w:hAnsi="Symbol" w:hint="default"/>
      </w:rPr>
    </w:lvl>
    <w:lvl w:ilvl="7" w:tplc="0C090003" w:tentative="1">
      <w:start w:val="1"/>
      <w:numFmt w:val="bullet"/>
      <w:lvlText w:val="o"/>
      <w:lvlJc w:val="left"/>
      <w:pPr>
        <w:ind w:left="5809" w:hanging="360"/>
      </w:pPr>
      <w:rPr>
        <w:rFonts w:ascii="Courier New" w:hAnsi="Courier New" w:cs="Courier New" w:hint="default"/>
      </w:rPr>
    </w:lvl>
    <w:lvl w:ilvl="8" w:tplc="0C090005" w:tentative="1">
      <w:start w:val="1"/>
      <w:numFmt w:val="bullet"/>
      <w:lvlText w:val=""/>
      <w:lvlJc w:val="left"/>
      <w:pPr>
        <w:ind w:left="6529" w:hanging="360"/>
      </w:pPr>
      <w:rPr>
        <w:rFonts w:ascii="Wingdings" w:hAnsi="Wingdings" w:hint="default"/>
      </w:rPr>
    </w:lvl>
  </w:abstractNum>
  <w:abstractNum w:abstractNumId="56" w15:restartNumberingAfterBreak="0">
    <w:nsid w:val="58284CAF"/>
    <w:multiLevelType w:val="hybridMultilevel"/>
    <w:tmpl w:val="3EFEE4EA"/>
    <w:lvl w:ilvl="0" w:tplc="7722BD60">
      <w:start w:val="9"/>
      <w:numFmt w:val="decimal"/>
      <w:lvlText w:val="%1."/>
      <w:lvlJc w:val="left"/>
      <w:pPr>
        <w:ind w:left="720" w:hanging="360"/>
      </w:pPr>
      <w:rPr>
        <w:rFonts w:hint="default"/>
        <w:b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7" w15:restartNumberingAfterBreak="0">
    <w:nsid w:val="5D5669CB"/>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66685DD6"/>
    <w:multiLevelType w:val="hybridMultilevel"/>
    <w:tmpl w:val="4A2A9C2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9" w15:restartNumberingAfterBreak="0">
    <w:nsid w:val="71B2159D"/>
    <w:multiLevelType w:val="hybridMultilevel"/>
    <w:tmpl w:val="81843D0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0" w15:restartNumberingAfterBreak="0">
    <w:nsid w:val="76C65663"/>
    <w:multiLevelType w:val="hybridMultilevel"/>
    <w:tmpl w:val="DA6614FE"/>
    <w:lvl w:ilvl="0" w:tplc="1D046520">
      <w:start w:val="8"/>
      <w:numFmt w:val="decimal"/>
      <w:lvlText w:val="%1."/>
      <w:lvlJc w:val="left"/>
      <w:pPr>
        <w:ind w:left="720" w:hanging="360"/>
      </w:pPr>
      <w:rPr>
        <w:rFonts w:hint="default"/>
        <w:b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1" w15:restartNumberingAfterBreak="0">
    <w:nsid w:val="787F7F7F"/>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5"/>
  </w:num>
  <w:num w:numId="2">
    <w:abstractNumId w:val="49"/>
  </w:num>
  <w:num w:numId="3">
    <w:abstractNumId w:val="41"/>
  </w:num>
  <w:num w:numId="4">
    <w:abstractNumId w:val="22"/>
  </w:num>
  <w:num w:numId="5">
    <w:abstractNumId w:val="21"/>
  </w:num>
  <w:num w:numId="6">
    <w:abstractNumId w:val="26"/>
  </w:num>
  <w:num w:numId="7">
    <w:abstractNumId w:val="50"/>
  </w:num>
  <w:num w:numId="8">
    <w:abstractNumId w:val="59"/>
  </w:num>
  <w:num w:numId="9">
    <w:abstractNumId w:val="35"/>
  </w:num>
  <w:num w:numId="10">
    <w:abstractNumId w:val="9"/>
  </w:num>
  <w:num w:numId="11">
    <w:abstractNumId w:val="4"/>
  </w:num>
  <w:num w:numId="12">
    <w:abstractNumId w:val="48"/>
  </w:num>
  <w:num w:numId="13">
    <w:abstractNumId w:val="20"/>
  </w:num>
  <w:num w:numId="14">
    <w:abstractNumId w:val="34"/>
  </w:num>
  <w:num w:numId="15">
    <w:abstractNumId w:val="14"/>
  </w:num>
  <w:num w:numId="16">
    <w:abstractNumId w:val="17"/>
  </w:num>
  <w:num w:numId="17">
    <w:abstractNumId w:val="12"/>
  </w:num>
  <w:num w:numId="18">
    <w:abstractNumId w:val="15"/>
  </w:num>
  <w:num w:numId="19">
    <w:abstractNumId w:val="29"/>
  </w:num>
  <w:num w:numId="20">
    <w:abstractNumId w:val="58"/>
  </w:num>
  <w:num w:numId="21">
    <w:abstractNumId w:val="0"/>
  </w:num>
  <w:num w:numId="22">
    <w:abstractNumId w:val="43"/>
  </w:num>
  <w:num w:numId="23">
    <w:abstractNumId w:val="6"/>
  </w:num>
  <w:num w:numId="24">
    <w:abstractNumId w:val="19"/>
  </w:num>
  <w:num w:numId="25">
    <w:abstractNumId w:val="55"/>
  </w:num>
  <w:num w:numId="26">
    <w:abstractNumId w:val="54"/>
  </w:num>
  <w:num w:numId="27">
    <w:abstractNumId w:val="39"/>
  </w:num>
  <w:num w:numId="28">
    <w:abstractNumId w:val="5"/>
  </w:num>
  <w:num w:numId="29">
    <w:abstractNumId w:val="31"/>
  </w:num>
  <w:num w:numId="30">
    <w:abstractNumId w:val="28"/>
  </w:num>
  <w:num w:numId="31">
    <w:abstractNumId w:val="16"/>
  </w:num>
  <w:num w:numId="32">
    <w:abstractNumId w:val="52"/>
  </w:num>
  <w:num w:numId="33">
    <w:abstractNumId w:val="51"/>
  </w:num>
  <w:num w:numId="34">
    <w:abstractNumId w:val="11"/>
  </w:num>
  <w:num w:numId="35">
    <w:abstractNumId w:val="30"/>
  </w:num>
  <w:num w:numId="36">
    <w:abstractNumId w:val="56"/>
  </w:num>
  <w:num w:numId="37">
    <w:abstractNumId w:val="60"/>
  </w:num>
  <w:num w:numId="38">
    <w:abstractNumId w:val="46"/>
  </w:num>
  <w:num w:numId="39">
    <w:abstractNumId w:val="2"/>
  </w:num>
  <w:num w:numId="40">
    <w:abstractNumId w:val="8"/>
  </w:num>
  <w:num w:numId="41">
    <w:abstractNumId w:val="38"/>
  </w:num>
  <w:num w:numId="42">
    <w:abstractNumId w:val="3"/>
  </w:num>
  <w:num w:numId="43">
    <w:abstractNumId w:val="23"/>
  </w:num>
  <w:num w:numId="44">
    <w:abstractNumId w:val="37"/>
  </w:num>
  <w:num w:numId="45">
    <w:abstractNumId w:val="36"/>
  </w:num>
  <w:num w:numId="46">
    <w:abstractNumId w:val="18"/>
  </w:num>
  <w:num w:numId="47">
    <w:abstractNumId w:val="57"/>
  </w:num>
  <w:num w:numId="48">
    <w:abstractNumId w:val="44"/>
  </w:num>
  <w:num w:numId="49">
    <w:abstractNumId w:val="40"/>
  </w:num>
  <w:num w:numId="50">
    <w:abstractNumId w:val="10"/>
  </w:num>
  <w:num w:numId="51">
    <w:abstractNumId w:val="13"/>
  </w:num>
  <w:num w:numId="52">
    <w:abstractNumId w:val="53"/>
  </w:num>
  <w:num w:numId="53">
    <w:abstractNumId w:val="1"/>
  </w:num>
  <w:num w:numId="54">
    <w:abstractNumId w:val="32"/>
  </w:num>
  <w:num w:numId="55">
    <w:abstractNumId w:val="7"/>
  </w:num>
  <w:num w:numId="56">
    <w:abstractNumId w:val="24"/>
  </w:num>
  <w:num w:numId="57">
    <w:abstractNumId w:val="42"/>
  </w:num>
  <w:num w:numId="58">
    <w:abstractNumId w:val="33"/>
  </w:num>
  <w:num w:numId="59">
    <w:abstractNumId w:val="27"/>
  </w:num>
  <w:num w:numId="60">
    <w:abstractNumId w:val="25"/>
  </w:num>
  <w:num w:numId="61">
    <w:abstractNumId w:val="61"/>
  </w:num>
  <w:num w:numId="62">
    <w:abstractNumId w:val="4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2"/>
  <w:defaultTabStop w:val="720"/>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3A5E"/>
    <w:rsid w:val="000007FB"/>
    <w:rsid w:val="00001EC2"/>
    <w:rsid w:val="00005C4B"/>
    <w:rsid w:val="000072B6"/>
    <w:rsid w:val="000128BB"/>
    <w:rsid w:val="00012969"/>
    <w:rsid w:val="00012AD5"/>
    <w:rsid w:val="00014B1C"/>
    <w:rsid w:val="00014E58"/>
    <w:rsid w:val="00021682"/>
    <w:rsid w:val="00021904"/>
    <w:rsid w:val="00024062"/>
    <w:rsid w:val="000247AE"/>
    <w:rsid w:val="00024D93"/>
    <w:rsid w:val="00032867"/>
    <w:rsid w:val="000359F2"/>
    <w:rsid w:val="00036D5E"/>
    <w:rsid w:val="00041EF5"/>
    <w:rsid w:val="00041F2B"/>
    <w:rsid w:val="000420DB"/>
    <w:rsid w:val="00042A4C"/>
    <w:rsid w:val="00044F27"/>
    <w:rsid w:val="00045BF3"/>
    <w:rsid w:val="00047C0C"/>
    <w:rsid w:val="00051283"/>
    <w:rsid w:val="00052898"/>
    <w:rsid w:val="0005604C"/>
    <w:rsid w:val="00057619"/>
    <w:rsid w:val="0006095E"/>
    <w:rsid w:val="00063950"/>
    <w:rsid w:val="00063DD6"/>
    <w:rsid w:val="0006520A"/>
    <w:rsid w:val="00070574"/>
    <w:rsid w:val="00072FFE"/>
    <w:rsid w:val="00074CBF"/>
    <w:rsid w:val="00074F15"/>
    <w:rsid w:val="00075B8A"/>
    <w:rsid w:val="0007694F"/>
    <w:rsid w:val="00076FE3"/>
    <w:rsid w:val="000775C4"/>
    <w:rsid w:val="00077EF8"/>
    <w:rsid w:val="00077FFE"/>
    <w:rsid w:val="00081041"/>
    <w:rsid w:val="00083FB9"/>
    <w:rsid w:val="00084348"/>
    <w:rsid w:val="00093820"/>
    <w:rsid w:val="00093F43"/>
    <w:rsid w:val="0009473A"/>
    <w:rsid w:val="00095053"/>
    <w:rsid w:val="000957FE"/>
    <w:rsid w:val="000962BF"/>
    <w:rsid w:val="000A0CE3"/>
    <w:rsid w:val="000A1229"/>
    <w:rsid w:val="000A318D"/>
    <w:rsid w:val="000A48C0"/>
    <w:rsid w:val="000A641B"/>
    <w:rsid w:val="000A73FF"/>
    <w:rsid w:val="000B12C3"/>
    <w:rsid w:val="000B3047"/>
    <w:rsid w:val="000B3EA4"/>
    <w:rsid w:val="000B3EC6"/>
    <w:rsid w:val="000C264F"/>
    <w:rsid w:val="000C40DF"/>
    <w:rsid w:val="000C5670"/>
    <w:rsid w:val="000D12A4"/>
    <w:rsid w:val="000D13C0"/>
    <w:rsid w:val="000D274F"/>
    <w:rsid w:val="000D5324"/>
    <w:rsid w:val="000E0CE5"/>
    <w:rsid w:val="000E1FDD"/>
    <w:rsid w:val="000E2372"/>
    <w:rsid w:val="000E5212"/>
    <w:rsid w:val="000E6224"/>
    <w:rsid w:val="000E7BBE"/>
    <w:rsid w:val="000F25FF"/>
    <w:rsid w:val="000F5159"/>
    <w:rsid w:val="000F51B1"/>
    <w:rsid w:val="000F5E4C"/>
    <w:rsid w:val="00100BF0"/>
    <w:rsid w:val="00100F67"/>
    <w:rsid w:val="001011B7"/>
    <w:rsid w:val="00102071"/>
    <w:rsid w:val="00111629"/>
    <w:rsid w:val="00111AEC"/>
    <w:rsid w:val="001134B5"/>
    <w:rsid w:val="00113634"/>
    <w:rsid w:val="00113B37"/>
    <w:rsid w:val="0011536C"/>
    <w:rsid w:val="00116A23"/>
    <w:rsid w:val="001172ED"/>
    <w:rsid w:val="00117525"/>
    <w:rsid w:val="00121D9C"/>
    <w:rsid w:val="0012407B"/>
    <w:rsid w:val="0012504A"/>
    <w:rsid w:val="00126333"/>
    <w:rsid w:val="00132F46"/>
    <w:rsid w:val="00135C77"/>
    <w:rsid w:val="00135FD5"/>
    <w:rsid w:val="00140F62"/>
    <w:rsid w:val="0014105C"/>
    <w:rsid w:val="00143D5E"/>
    <w:rsid w:val="0014406F"/>
    <w:rsid w:val="00144FE1"/>
    <w:rsid w:val="0015556D"/>
    <w:rsid w:val="00155DDC"/>
    <w:rsid w:val="00156E21"/>
    <w:rsid w:val="00157968"/>
    <w:rsid w:val="00161913"/>
    <w:rsid w:val="0016410D"/>
    <w:rsid w:val="001645AA"/>
    <w:rsid w:val="00164B4D"/>
    <w:rsid w:val="00165520"/>
    <w:rsid w:val="00166C1A"/>
    <w:rsid w:val="001700AC"/>
    <w:rsid w:val="0017019D"/>
    <w:rsid w:val="00172082"/>
    <w:rsid w:val="00177F2C"/>
    <w:rsid w:val="001809F5"/>
    <w:rsid w:val="00181EE0"/>
    <w:rsid w:val="00183A21"/>
    <w:rsid w:val="00185E17"/>
    <w:rsid w:val="00193116"/>
    <w:rsid w:val="00194D6F"/>
    <w:rsid w:val="00195D5A"/>
    <w:rsid w:val="001A1FEC"/>
    <w:rsid w:val="001A7E54"/>
    <w:rsid w:val="001B044E"/>
    <w:rsid w:val="001B3000"/>
    <w:rsid w:val="001B35CB"/>
    <w:rsid w:val="001B39CF"/>
    <w:rsid w:val="001B5472"/>
    <w:rsid w:val="001B5AC7"/>
    <w:rsid w:val="001B6BC8"/>
    <w:rsid w:val="001B7A2C"/>
    <w:rsid w:val="001C47EC"/>
    <w:rsid w:val="001D0366"/>
    <w:rsid w:val="001D0A30"/>
    <w:rsid w:val="001D1C39"/>
    <w:rsid w:val="001D54C8"/>
    <w:rsid w:val="001E023F"/>
    <w:rsid w:val="001E0527"/>
    <w:rsid w:val="001E0DDB"/>
    <w:rsid w:val="001E2279"/>
    <w:rsid w:val="001E4828"/>
    <w:rsid w:val="001E4973"/>
    <w:rsid w:val="001E519F"/>
    <w:rsid w:val="001E7233"/>
    <w:rsid w:val="001E737E"/>
    <w:rsid w:val="001F08D6"/>
    <w:rsid w:val="001F199D"/>
    <w:rsid w:val="001F6C8B"/>
    <w:rsid w:val="001F7E0C"/>
    <w:rsid w:val="00200C88"/>
    <w:rsid w:val="0020329C"/>
    <w:rsid w:val="00205EA9"/>
    <w:rsid w:val="0020752C"/>
    <w:rsid w:val="00207B0E"/>
    <w:rsid w:val="00214D6F"/>
    <w:rsid w:val="002156DF"/>
    <w:rsid w:val="002205EB"/>
    <w:rsid w:val="00220BBC"/>
    <w:rsid w:val="00220C92"/>
    <w:rsid w:val="002234AC"/>
    <w:rsid w:val="002278B3"/>
    <w:rsid w:val="00230C13"/>
    <w:rsid w:val="0023161D"/>
    <w:rsid w:val="00231E34"/>
    <w:rsid w:val="002322BA"/>
    <w:rsid w:val="00232C24"/>
    <w:rsid w:val="00234ADC"/>
    <w:rsid w:val="00235C48"/>
    <w:rsid w:val="002427C6"/>
    <w:rsid w:val="00243DF4"/>
    <w:rsid w:val="002445CC"/>
    <w:rsid w:val="002448A0"/>
    <w:rsid w:val="0024737D"/>
    <w:rsid w:val="00247CB8"/>
    <w:rsid w:val="00251D2B"/>
    <w:rsid w:val="00252322"/>
    <w:rsid w:val="002567B4"/>
    <w:rsid w:val="00256F2D"/>
    <w:rsid w:val="00256FED"/>
    <w:rsid w:val="00261157"/>
    <w:rsid w:val="00262933"/>
    <w:rsid w:val="00263A1B"/>
    <w:rsid w:val="00263F0F"/>
    <w:rsid w:val="00263F66"/>
    <w:rsid w:val="0026465A"/>
    <w:rsid w:val="00265028"/>
    <w:rsid w:val="00265116"/>
    <w:rsid w:val="00265857"/>
    <w:rsid w:val="002660B0"/>
    <w:rsid w:val="002704AA"/>
    <w:rsid w:val="002717C6"/>
    <w:rsid w:val="002749C8"/>
    <w:rsid w:val="00274E17"/>
    <w:rsid w:val="0027646C"/>
    <w:rsid w:val="002766DC"/>
    <w:rsid w:val="0028190B"/>
    <w:rsid w:val="002835B8"/>
    <w:rsid w:val="00285D75"/>
    <w:rsid w:val="00286554"/>
    <w:rsid w:val="0029004A"/>
    <w:rsid w:val="00294F08"/>
    <w:rsid w:val="002A27E1"/>
    <w:rsid w:val="002A3812"/>
    <w:rsid w:val="002A5070"/>
    <w:rsid w:val="002A5165"/>
    <w:rsid w:val="002B2320"/>
    <w:rsid w:val="002B4FFA"/>
    <w:rsid w:val="002B6043"/>
    <w:rsid w:val="002C0412"/>
    <w:rsid w:val="002C0B25"/>
    <w:rsid w:val="002C199D"/>
    <w:rsid w:val="002C2025"/>
    <w:rsid w:val="002C25BA"/>
    <w:rsid w:val="002C64AD"/>
    <w:rsid w:val="002C7062"/>
    <w:rsid w:val="002D2059"/>
    <w:rsid w:val="002D2850"/>
    <w:rsid w:val="002E17BE"/>
    <w:rsid w:val="002E6107"/>
    <w:rsid w:val="002F02DE"/>
    <w:rsid w:val="002F10B4"/>
    <w:rsid w:val="002F3809"/>
    <w:rsid w:val="002F77EF"/>
    <w:rsid w:val="00311863"/>
    <w:rsid w:val="0031186F"/>
    <w:rsid w:val="00311D2A"/>
    <w:rsid w:val="00312955"/>
    <w:rsid w:val="00313101"/>
    <w:rsid w:val="00314BFF"/>
    <w:rsid w:val="00315F22"/>
    <w:rsid w:val="0031737B"/>
    <w:rsid w:val="00317BFB"/>
    <w:rsid w:val="003205C0"/>
    <w:rsid w:val="00320874"/>
    <w:rsid w:val="003235A0"/>
    <w:rsid w:val="00323E53"/>
    <w:rsid w:val="0032467B"/>
    <w:rsid w:val="00324737"/>
    <w:rsid w:val="00324BE9"/>
    <w:rsid w:val="0032550C"/>
    <w:rsid w:val="0032648A"/>
    <w:rsid w:val="00327BFC"/>
    <w:rsid w:val="00327E68"/>
    <w:rsid w:val="00330885"/>
    <w:rsid w:val="00331201"/>
    <w:rsid w:val="003315BF"/>
    <w:rsid w:val="00331FD1"/>
    <w:rsid w:val="00332FCB"/>
    <w:rsid w:val="003333AD"/>
    <w:rsid w:val="00335952"/>
    <w:rsid w:val="003371B6"/>
    <w:rsid w:val="00351921"/>
    <w:rsid w:val="00351CD1"/>
    <w:rsid w:val="00355FAF"/>
    <w:rsid w:val="00356DF0"/>
    <w:rsid w:val="00362594"/>
    <w:rsid w:val="003635DE"/>
    <w:rsid w:val="00364571"/>
    <w:rsid w:val="00364A7E"/>
    <w:rsid w:val="00370C08"/>
    <w:rsid w:val="00370CE7"/>
    <w:rsid w:val="00371A1A"/>
    <w:rsid w:val="003743C5"/>
    <w:rsid w:val="003746A1"/>
    <w:rsid w:val="00376FAC"/>
    <w:rsid w:val="00377EB3"/>
    <w:rsid w:val="00383FF9"/>
    <w:rsid w:val="00384DB1"/>
    <w:rsid w:val="00387687"/>
    <w:rsid w:val="003905EA"/>
    <w:rsid w:val="00390885"/>
    <w:rsid w:val="00390FE1"/>
    <w:rsid w:val="0039100E"/>
    <w:rsid w:val="003915B8"/>
    <w:rsid w:val="0039487E"/>
    <w:rsid w:val="0039525E"/>
    <w:rsid w:val="003A1B4F"/>
    <w:rsid w:val="003A457F"/>
    <w:rsid w:val="003A5A2B"/>
    <w:rsid w:val="003B0B09"/>
    <w:rsid w:val="003B20B8"/>
    <w:rsid w:val="003B4228"/>
    <w:rsid w:val="003B50A1"/>
    <w:rsid w:val="003B558D"/>
    <w:rsid w:val="003B7278"/>
    <w:rsid w:val="003C43EE"/>
    <w:rsid w:val="003C4A6C"/>
    <w:rsid w:val="003C6D9D"/>
    <w:rsid w:val="003D0959"/>
    <w:rsid w:val="003D0C83"/>
    <w:rsid w:val="003D1833"/>
    <w:rsid w:val="003D24ED"/>
    <w:rsid w:val="003E0033"/>
    <w:rsid w:val="003E2965"/>
    <w:rsid w:val="003E307F"/>
    <w:rsid w:val="003E3A0A"/>
    <w:rsid w:val="003E4801"/>
    <w:rsid w:val="003E535F"/>
    <w:rsid w:val="003E54AE"/>
    <w:rsid w:val="003F0ACE"/>
    <w:rsid w:val="003F1B05"/>
    <w:rsid w:val="003F1E36"/>
    <w:rsid w:val="003F79F3"/>
    <w:rsid w:val="00400119"/>
    <w:rsid w:val="00400B22"/>
    <w:rsid w:val="00401DA7"/>
    <w:rsid w:val="004034C2"/>
    <w:rsid w:val="00403A44"/>
    <w:rsid w:val="00403C3E"/>
    <w:rsid w:val="004040EE"/>
    <w:rsid w:val="00405C6E"/>
    <w:rsid w:val="00406F79"/>
    <w:rsid w:val="00410C18"/>
    <w:rsid w:val="00411FF9"/>
    <w:rsid w:val="0041277B"/>
    <w:rsid w:val="00414E0F"/>
    <w:rsid w:val="0041592D"/>
    <w:rsid w:val="00416ACD"/>
    <w:rsid w:val="00421C11"/>
    <w:rsid w:val="00423F46"/>
    <w:rsid w:val="00424229"/>
    <w:rsid w:val="004254BC"/>
    <w:rsid w:val="00426958"/>
    <w:rsid w:val="0042716F"/>
    <w:rsid w:val="004329C1"/>
    <w:rsid w:val="00432CE1"/>
    <w:rsid w:val="00433F26"/>
    <w:rsid w:val="00435887"/>
    <w:rsid w:val="00437CD2"/>
    <w:rsid w:val="00442B6F"/>
    <w:rsid w:val="00442D15"/>
    <w:rsid w:val="0044377E"/>
    <w:rsid w:val="0044574E"/>
    <w:rsid w:val="00445DB6"/>
    <w:rsid w:val="004603A6"/>
    <w:rsid w:val="00460463"/>
    <w:rsid w:val="00460A8A"/>
    <w:rsid w:val="0046150D"/>
    <w:rsid w:val="0046190E"/>
    <w:rsid w:val="00465C74"/>
    <w:rsid w:val="00471ABB"/>
    <w:rsid w:val="00474312"/>
    <w:rsid w:val="00482B64"/>
    <w:rsid w:val="00493DEB"/>
    <w:rsid w:val="004971A8"/>
    <w:rsid w:val="004A026F"/>
    <w:rsid w:val="004A360E"/>
    <w:rsid w:val="004A43DB"/>
    <w:rsid w:val="004A586E"/>
    <w:rsid w:val="004A5D45"/>
    <w:rsid w:val="004A75E4"/>
    <w:rsid w:val="004B2015"/>
    <w:rsid w:val="004B258B"/>
    <w:rsid w:val="004B324D"/>
    <w:rsid w:val="004B3F8D"/>
    <w:rsid w:val="004B41FD"/>
    <w:rsid w:val="004B456F"/>
    <w:rsid w:val="004B5581"/>
    <w:rsid w:val="004B5AFA"/>
    <w:rsid w:val="004B67B9"/>
    <w:rsid w:val="004C1F05"/>
    <w:rsid w:val="004C2037"/>
    <w:rsid w:val="004C3AD7"/>
    <w:rsid w:val="004C48CD"/>
    <w:rsid w:val="004C65D2"/>
    <w:rsid w:val="004C6706"/>
    <w:rsid w:val="004C6AE7"/>
    <w:rsid w:val="004C6C2B"/>
    <w:rsid w:val="004D07DE"/>
    <w:rsid w:val="004D24EB"/>
    <w:rsid w:val="004D32D8"/>
    <w:rsid w:val="004D42B7"/>
    <w:rsid w:val="004D44CB"/>
    <w:rsid w:val="004D5C6F"/>
    <w:rsid w:val="004D73A4"/>
    <w:rsid w:val="004E382C"/>
    <w:rsid w:val="004E5BE7"/>
    <w:rsid w:val="004F0CEB"/>
    <w:rsid w:val="004F230C"/>
    <w:rsid w:val="004F3C35"/>
    <w:rsid w:val="004F5622"/>
    <w:rsid w:val="004F6682"/>
    <w:rsid w:val="005021DC"/>
    <w:rsid w:val="00502AB2"/>
    <w:rsid w:val="00507616"/>
    <w:rsid w:val="005109ED"/>
    <w:rsid w:val="00512B85"/>
    <w:rsid w:val="0051464E"/>
    <w:rsid w:val="00514DB3"/>
    <w:rsid w:val="00517210"/>
    <w:rsid w:val="005237DF"/>
    <w:rsid w:val="0052433D"/>
    <w:rsid w:val="00525116"/>
    <w:rsid w:val="00525816"/>
    <w:rsid w:val="0053066A"/>
    <w:rsid w:val="00531CEF"/>
    <w:rsid w:val="00532B22"/>
    <w:rsid w:val="00533E76"/>
    <w:rsid w:val="005345E5"/>
    <w:rsid w:val="00535417"/>
    <w:rsid w:val="005359DB"/>
    <w:rsid w:val="00537162"/>
    <w:rsid w:val="00537F02"/>
    <w:rsid w:val="005404CE"/>
    <w:rsid w:val="00540C41"/>
    <w:rsid w:val="005417DC"/>
    <w:rsid w:val="005516ED"/>
    <w:rsid w:val="00553701"/>
    <w:rsid w:val="00554125"/>
    <w:rsid w:val="005566F0"/>
    <w:rsid w:val="0055702B"/>
    <w:rsid w:val="00560673"/>
    <w:rsid w:val="00560934"/>
    <w:rsid w:val="005626C9"/>
    <w:rsid w:val="00562A06"/>
    <w:rsid w:val="0056412A"/>
    <w:rsid w:val="005659B3"/>
    <w:rsid w:val="00566112"/>
    <w:rsid w:val="005670E4"/>
    <w:rsid w:val="00570B36"/>
    <w:rsid w:val="00571031"/>
    <w:rsid w:val="005739D1"/>
    <w:rsid w:val="005764B4"/>
    <w:rsid w:val="00580D68"/>
    <w:rsid w:val="005869FC"/>
    <w:rsid w:val="00586EF0"/>
    <w:rsid w:val="00594D79"/>
    <w:rsid w:val="00597B9D"/>
    <w:rsid w:val="005A0761"/>
    <w:rsid w:val="005A18D5"/>
    <w:rsid w:val="005A20B6"/>
    <w:rsid w:val="005A32EA"/>
    <w:rsid w:val="005A3D22"/>
    <w:rsid w:val="005A5573"/>
    <w:rsid w:val="005A641F"/>
    <w:rsid w:val="005B0906"/>
    <w:rsid w:val="005B0EDD"/>
    <w:rsid w:val="005B14BF"/>
    <w:rsid w:val="005B20B5"/>
    <w:rsid w:val="005B27D5"/>
    <w:rsid w:val="005B2D08"/>
    <w:rsid w:val="005B5A25"/>
    <w:rsid w:val="005B5BD2"/>
    <w:rsid w:val="005B6152"/>
    <w:rsid w:val="005B68A9"/>
    <w:rsid w:val="005C176A"/>
    <w:rsid w:val="005C327D"/>
    <w:rsid w:val="005C3C0F"/>
    <w:rsid w:val="005C43C5"/>
    <w:rsid w:val="005C548F"/>
    <w:rsid w:val="005C5FAA"/>
    <w:rsid w:val="005C7CAD"/>
    <w:rsid w:val="005D3179"/>
    <w:rsid w:val="005D4579"/>
    <w:rsid w:val="005D47CE"/>
    <w:rsid w:val="005D728E"/>
    <w:rsid w:val="005E0AD6"/>
    <w:rsid w:val="005E1B9B"/>
    <w:rsid w:val="005E2897"/>
    <w:rsid w:val="005E730B"/>
    <w:rsid w:val="005F0E38"/>
    <w:rsid w:val="005F4164"/>
    <w:rsid w:val="005F4888"/>
    <w:rsid w:val="005F654F"/>
    <w:rsid w:val="0060026E"/>
    <w:rsid w:val="00601563"/>
    <w:rsid w:val="006016E8"/>
    <w:rsid w:val="00601835"/>
    <w:rsid w:val="0060204A"/>
    <w:rsid w:val="00603363"/>
    <w:rsid w:val="0060785C"/>
    <w:rsid w:val="0061050F"/>
    <w:rsid w:val="00612006"/>
    <w:rsid w:val="006132E6"/>
    <w:rsid w:val="00613753"/>
    <w:rsid w:val="00613A28"/>
    <w:rsid w:val="00613B7E"/>
    <w:rsid w:val="00616C1A"/>
    <w:rsid w:val="006179D8"/>
    <w:rsid w:val="00621610"/>
    <w:rsid w:val="0062597F"/>
    <w:rsid w:val="00626A58"/>
    <w:rsid w:val="00627888"/>
    <w:rsid w:val="00627B9C"/>
    <w:rsid w:val="006306C0"/>
    <w:rsid w:val="006306EE"/>
    <w:rsid w:val="0063549F"/>
    <w:rsid w:val="0063770C"/>
    <w:rsid w:val="00642A3C"/>
    <w:rsid w:val="0064393F"/>
    <w:rsid w:val="00646ADF"/>
    <w:rsid w:val="00647A38"/>
    <w:rsid w:val="00650BCE"/>
    <w:rsid w:val="00650E74"/>
    <w:rsid w:val="00651367"/>
    <w:rsid w:val="00651B49"/>
    <w:rsid w:val="00652D35"/>
    <w:rsid w:val="0065461F"/>
    <w:rsid w:val="006552F2"/>
    <w:rsid w:val="006557C7"/>
    <w:rsid w:val="0066039E"/>
    <w:rsid w:val="00660C09"/>
    <w:rsid w:val="00663B17"/>
    <w:rsid w:val="00663BFF"/>
    <w:rsid w:val="006653CD"/>
    <w:rsid w:val="00666E37"/>
    <w:rsid w:val="006716D8"/>
    <w:rsid w:val="00672424"/>
    <w:rsid w:val="00672581"/>
    <w:rsid w:val="00672B36"/>
    <w:rsid w:val="00675693"/>
    <w:rsid w:val="00676C94"/>
    <w:rsid w:val="00680136"/>
    <w:rsid w:val="006856A8"/>
    <w:rsid w:val="0068621E"/>
    <w:rsid w:val="0068710F"/>
    <w:rsid w:val="00691005"/>
    <w:rsid w:val="00697266"/>
    <w:rsid w:val="006A34B2"/>
    <w:rsid w:val="006A3717"/>
    <w:rsid w:val="006A73E7"/>
    <w:rsid w:val="006B11BC"/>
    <w:rsid w:val="006B1F01"/>
    <w:rsid w:val="006B2756"/>
    <w:rsid w:val="006B32C9"/>
    <w:rsid w:val="006B3B0F"/>
    <w:rsid w:val="006B4233"/>
    <w:rsid w:val="006C319B"/>
    <w:rsid w:val="006C40AC"/>
    <w:rsid w:val="006C457F"/>
    <w:rsid w:val="006C4E9A"/>
    <w:rsid w:val="006C572F"/>
    <w:rsid w:val="006C5B78"/>
    <w:rsid w:val="006C5D66"/>
    <w:rsid w:val="006D04E5"/>
    <w:rsid w:val="006D155D"/>
    <w:rsid w:val="006D3DFF"/>
    <w:rsid w:val="006D630C"/>
    <w:rsid w:val="006D6D9C"/>
    <w:rsid w:val="006D6E99"/>
    <w:rsid w:val="006D74CF"/>
    <w:rsid w:val="006E049E"/>
    <w:rsid w:val="006E2252"/>
    <w:rsid w:val="006E2B44"/>
    <w:rsid w:val="006E4272"/>
    <w:rsid w:val="006E45A4"/>
    <w:rsid w:val="006E45D4"/>
    <w:rsid w:val="006E5D25"/>
    <w:rsid w:val="006E757F"/>
    <w:rsid w:val="006E7B12"/>
    <w:rsid w:val="006F33AE"/>
    <w:rsid w:val="006F45B5"/>
    <w:rsid w:val="006F4F9A"/>
    <w:rsid w:val="00703760"/>
    <w:rsid w:val="00705192"/>
    <w:rsid w:val="0070590E"/>
    <w:rsid w:val="007116E9"/>
    <w:rsid w:val="00712480"/>
    <w:rsid w:val="00712D96"/>
    <w:rsid w:val="0071367A"/>
    <w:rsid w:val="00714C95"/>
    <w:rsid w:val="00720AB4"/>
    <w:rsid w:val="007217A2"/>
    <w:rsid w:val="00723121"/>
    <w:rsid w:val="00723833"/>
    <w:rsid w:val="007240A0"/>
    <w:rsid w:val="0072579C"/>
    <w:rsid w:val="00730AC7"/>
    <w:rsid w:val="007335A1"/>
    <w:rsid w:val="00733E61"/>
    <w:rsid w:val="00735303"/>
    <w:rsid w:val="007353BF"/>
    <w:rsid w:val="00737AE1"/>
    <w:rsid w:val="00737BDB"/>
    <w:rsid w:val="00737CB7"/>
    <w:rsid w:val="00740C39"/>
    <w:rsid w:val="00741021"/>
    <w:rsid w:val="0074155E"/>
    <w:rsid w:val="00742AAC"/>
    <w:rsid w:val="00750D94"/>
    <w:rsid w:val="00752034"/>
    <w:rsid w:val="00753FF3"/>
    <w:rsid w:val="00761741"/>
    <w:rsid w:val="00762125"/>
    <w:rsid w:val="00765C6B"/>
    <w:rsid w:val="0076648A"/>
    <w:rsid w:val="0077055C"/>
    <w:rsid w:val="007711B8"/>
    <w:rsid w:val="00771DA7"/>
    <w:rsid w:val="00772C5F"/>
    <w:rsid w:val="00773DAF"/>
    <w:rsid w:val="00774285"/>
    <w:rsid w:val="00774D97"/>
    <w:rsid w:val="007764FD"/>
    <w:rsid w:val="007776D1"/>
    <w:rsid w:val="00780AA2"/>
    <w:rsid w:val="00780B41"/>
    <w:rsid w:val="007817D6"/>
    <w:rsid w:val="0078199F"/>
    <w:rsid w:val="007820CF"/>
    <w:rsid w:val="007823DE"/>
    <w:rsid w:val="00783A5B"/>
    <w:rsid w:val="00785599"/>
    <w:rsid w:val="00786312"/>
    <w:rsid w:val="00797DC6"/>
    <w:rsid w:val="007A0FE2"/>
    <w:rsid w:val="007A23EB"/>
    <w:rsid w:val="007A27A8"/>
    <w:rsid w:val="007A33E0"/>
    <w:rsid w:val="007A351D"/>
    <w:rsid w:val="007A4384"/>
    <w:rsid w:val="007A6325"/>
    <w:rsid w:val="007B41B8"/>
    <w:rsid w:val="007B5820"/>
    <w:rsid w:val="007B62C3"/>
    <w:rsid w:val="007C03AB"/>
    <w:rsid w:val="007C0DF3"/>
    <w:rsid w:val="007C269B"/>
    <w:rsid w:val="007C2EF7"/>
    <w:rsid w:val="007C48D6"/>
    <w:rsid w:val="007C788B"/>
    <w:rsid w:val="007D05D7"/>
    <w:rsid w:val="007D1C46"/>
    <w:rsid w:val="007D1C74"/>
    <w:rsid w:val="007D212B"/>
    <w:rsid w:val="007D6753"/>
    <w:rsid w:val="007D719F"/>
    <w:rsid w:val="007E0B09"/>
    <w:rsid w:val="007E1424"/>
    <w:rsid w:val="007E4214"/>
    <w:rsid w:val="007E575E"/>
    <w:rsid w:val="007E5E5A"/>
    <w:rsid w:val="007E724D"/>
    <w:rsid w:val="007F1E94"/>
    <w:rsid w:val="007F30A3"/>
    <w:rsid w:val="007F3570"/>
    <w:rsid w:val="007F382F"/>
    <w:rsid w:val="007F5B3E"/>
    <w:rsid w:val="007F606F"/>
    <w:rsid w:val="007F6742"/>
    <w:rsid w:val="007F747D"/>
    <w:rsid w:val="007F7F64"/>
    <w:rsid w:val="008006EE"/>
    <w:rsid w:val="00801257"/>
    <w:rsid w:val="0080331B"/>
    <w:rsid w:val="008061A0"/>
    <w:rsid w:val="008068A6"/>
    <w:rsid w:val="00806D76"/>
    <w:rsid w:val="00807633"/>
    <w:rsid w:val="008147D6"/>
    <w:rsid w:val="00814A9E"/>
    <w:rsid w:val="00816586"/>
    <w:rsid w:val="008202FE"/>
    <w:rsid w:val="00820E6A"/>
    <w:rsid w:val="0082201B"/>
    <w:rsid w:val="008248AB"/>
    <w:rsid w:val="00824B2C"/>
    <w:rsid w:val="008263E4"/>
    <w:rsid w:val="00826AD9"/>
    <w:rsid w:val="0083067D"/>
    <w:rsid w:val="008309AC"/>
    <w:rsid w:val="008316E7"/>
    <w:rsid w:val="00831FCE"/>
    <w:rsid w:val="00834116"/>
    <w:rsid w:val="00835E32"/>
    <w:rsid w:val="00840DBE"/>
    <w:rsid w:val="0084105E"/>
    <w:rsid w:val="0084126F"/>
    <w:rsid w:val="0084709E"/>
    <w:rsid w:val="0084753A"/>
    <w:rsid w:val="00847EB5"/>
    <w:rsid w:val="0085158B"/>
    <w:rsid w:val="00852C07"/>
    <w:rsid w:val="00856CA1"/>
    <w:rsid w:val="00856F24"/>
    <w:rsid w:val="008635F7"/>
    <w:rsid w:val="0086430C"/>
    <w:rsid w:val="00864C9C"/>
    <w:rsid w:val="00864DD8"/>
    <w:rsid w:val="0086507B"/>
    <w:rsid w:val="00870192"/>
    <w:rsid w:val="008731DA"/>
    <w:rsid w:val="008733EF"/>
    <w:rsid w:val="008744F5"/>
    <w:rsid w:val="00874BBE"/>
    <w:rsid w:val="0087676A"/>
    <w:rsid w:val="00876CFA"/>
    <w:rsid w:val="0087791A"/>
    <w:rsid w:val="00881112"/>
    <w:rsid w:val="00882DED"/>
    <w:rsid w:val="0088371D"/>
    <w:rsid w:val="00883867"/>
    <w:rsid w:val="0088533E"/>
    <w:rsid w:val="008853FC"/>
    <w:rsid w:val="00885C97"/>
    <w:rsid w:val="00887210"/>
    <w:rsid w:val="00891B44"/>
    <w:rsid w:val="00892771"/>
    <w:rsid w:val="008A7B3C"/>
    <w:rsid w:val="008A7CA7"/>
    <w:rsid w:val="008B08D8"/>
    <w:rsid w:val="008B0972"/>
    <w:rsid w:val="008B2024"/>
    <w:rsid w:val="008B6083"/>
    <w:rsid w:val="008B75EC"/>
    <w:rsid w:val="008C1776"/>
    <w:rsid w:val="008C338F"/>
    <w:rsid w:val="008C3754"/>
    <w:rsid w:val="008C437F"/>
    <w:rsid w:val="008C5F5B"/>
    <w:rsid w:val="008C660A"/>
    <w:rsid w:val="008D23A2"/>
    <w:rsid w:val="008D2AF6"/>
    <w:rsid w:val="008D3ADF"/>
    <w:rsid w:val="008D4414"/>
    <w:rsid w:val="008D5831"/>
    <w:rsid w:val="008D7E58"/>
    <w:rsid w:val="008E27C5"/>
    <w:rsid w:val="008E3AD0"/>
    <w:rsid w:val="008E4FC0"/>
    <w:rsid w:val="008F159B"/>
    <w:rsid w:val="008F22C0"/>
    <w:rsid w:val="008F3D70"/>
    <w:rsid w:val="008F42B8"/>
    <w:rsid w:val="008F4A86"/>
    <w:rsid w:val="008F54B1"/>
    <w:rsid w:val="008F61A1"/>
    <w:rsid w:val="008F6AB4"/>
    <w:rsid w:val="00900644"/>
    <w:rsid w:val="00902395"/>
    <w:rsid w:val="0090306D"/>
    <w:rsid w:val="00910427"/>
    <w:rsid w:val="00913CC4"/>
    <w:rsid w:val="009160A5"/>
    <w:rsid w:val="00920453"/>
    <w:rsid w:val="0092191A"/>
    <w:rsid w:val="0092422F"/>
    <w:rsid w:val="00924407"/>
    <w:rsid w:val="00925125"/>
    <w:rsid w:val="009256ED"/>
    <w:rsid w:val="009265E7"/>
    <w:rsid w:val="00931130"/>
    <w:rsid w:val="00931B22"/>
    <w:rsid w:val="00932865"/>
    <w:rsid w:val="00932978"/>
    <w:rsid w:val="00932D92"/>
    <w:rsid w:val="00932E0E"/>
    <w:rsid w:val="00941DA2"/>
    <w:rsid w:val="0094323C"/>
    <w:rsid w:val="00943C81"/>
    <w:rsid w:val="0094645D"/>
    <w:rsid w:val="00951435"/>
    <w:rsid w:val="00951990"/>
    <w:rsid w:val="0095241D"/>
    <w:rsid w:val="0095251A"/>
    <w:rsid w:val="0095438B"/>
    <w:rsid w:val="00955FF3"/>
    <w:rsid w:val="00960D2A"/>
    <w:rsid w:val="00961FC3"/>
    <w:rsid w:val="00964525"/>
    <w:rsid w:val="009645CC"/>
    <w:rsid w:val="0096770C"/>
    <w:rsid w:val="00971C98"/>
    <w:rsid w:val="00972220"/>
    <w:rsid w:val="009724F5"/>
    <w:rsid w:val="00973ABB"/>
    <w:rsid w:val="009745C8"/>
    <w:rsid w:val="00983810"/>
    <w:rsid w:val="00986F48"/>
    <w:rsid w:val="009877D0"/>
    <w:rsid w:val="00987EDE"/>
    <w:rsid w:val="00994673"/>
    <w:rsid w:val="009947CF"/>
    <w:rsid w:val="009A1E74"/>
    <w:rsid w:val="009A2266"/>
    <w:rsid w:val="009A23E9"/>
    <w:rsid w:val="009A6BD0"/>
    <w:rsid w:val="009B110A"/>
    <w:rsid w:val="009B1355"/>
    <w:rsid w:val="009B2236"/>
    <w:rsid w:val="009B24E2"/>
    <w:rsid w:val="009B3DFD"/>
    <w:rsid w:val="009B7245"/>
    <w:rsid w:val="009C3155"/>
    <w:rsid w:val="009C5BC0"/>
    <w:rsid w:val="009C79F1"/>
    <w:rsid w:val="009C7F1E"/>
    <w:rsid w:val="009D202C"/>
    <w:rsid w:val="009D2B7A"/>
    <w:rsid w:val="009D44AE"/>
    <w:rsid w:val="009D7634"/>
    <w:rsid w:val="009D7994"/>
    <w:rsid w:val="009E003B"/>
    <w:rsid w:val="009E1B69"/>
    <w:rsid w:val="009E27C0"/>
    <w:rsid w:val="009E4A4C"/>
    <w:rsid w:val="009E7875"/>
    <w:rsid w:val="009F1A1E"/>
    <w:rsid w:val="009F2425"/>
    <w:rsid w:val="009F4FE1"/>
    <w:rsid w:val="009F5620"/>
    <w:rsid w:val="009F7A4B"/>
    <w:rsid w:val="009F7C67"/>
    <w:rsid w:val="00A01D83"/>
    <w:rsid w:val="00A02072"/>
    <w:rsid w:val="00A04D34"/>
    <w:rsid w:val="00A051FC"/>
    <w:rsid w:val="00A0580A"/>
    <w:rsid w:val="00A061B9"/>
    <w:rsid w:val="00A072A7"/>
    <w:rsid w:val="00A076FC"/>
    <w:rsid w:val="00A10C05"/>
    <w:rsid w:val="00A11556"/>
    <w:rsid w:val="00A119B0"/>
    <w:rsid w:val="00A124A1"/>
    <w:rsid w:val="00A13C69"/>
    <w:rsid w:val="00A163C1"/>
    <w:rsid w:val="00A1642F"/>
    <w:rsid w:val="00A177B0"/>
    <w:rsid w:val="00A20F8D"/>
    <w:rsid w:val="00A214D8"/>
    <w:rsid w:val="00A21C12"/>
    <w:rsid w:val="00A22437"/>
    <w:rsid w:val="00A25CB8"/>
    <w:rsid w:val="00A31B7F"/>
    <w:rsid w:val="00A32338"/>
    <w:rsid w:val="00A3275F"/>
    <w:rsid w:val="00A3341F"/>
    <w:rsid w:val="00A35BFC"/>
    <w:rsid w:val="00A36828"/>
    <w:rsid w:val="00A37944"/>
    <w:rsid w:val="00A409A5"/>
    <w:rsid w:val="00A422D1"/>
    <w:rsid w:val="00A42524"/>
    <w:rsid w:val="00A42FBD"/>
    <w:rsid w:val="00A434D1"/>
    <w:rsid w:val="00A4489C"/>
    <w:rsid w:val="00A45C15"/>
    <w:rsid w:val="00A46045"/>
    <w:rsid w:val="00A47296"/>
    <w:rsid w:val="00A47BBD"/>
    <w:rsid w:val="00A47D8A"/>
    <w:rsid w:val="00A507D4"/>
    <w:rsid w:val="00A51CAF"/>
    <w:rsid w:val="00A520B7"/>
    <w:rsid w:val="00A5260E"/>
    <w:rsid w:val="00A53464"/>
    <w:rsid w:val="00A542BA"/>
    <w:rsid w:val="00A6109D"/>
    <w:rsid w:val="00A61DA8"/>
    <w:rsid w:val="00A622D5"/>
    <w:rsid w:val="00A66EB3"/>
    <w:rsid w:val="00A73924"/>
    <w:rsid w:val="00A73F13"/>
    <w:rsid w:val="00A752B2"/>
    <w:rsid w:val="00A77159"/>
    <w:rsid w:val="00A77B28"/>
    <w:rsid w:val="00A81AFF"/>
    <w:rsid w:val="00A85614"/>
    <w:rsid w:val="00A86B15"/>
    <w:rsid w:val="00A87AF7"/>
    <w:rsid w:val="00A967DE"/>
    <w:rsid w:val="00AA024D"/>
    <w:rsid w:val="00AA1A7A"/>
    <w:rsid w:val="00AA4899"/>
    <w:rsid w:val="00AA5899"/>
    <w:rsid w:val="00AA5D00"/>
    <w:rsid w:val="00AA7B91"/>
    <w:rsid w:val="00AB07D0"/>
    <w:rsid w:val="00AB2C58"/>
    <w:rsid w:val="00AB4D9C"/>
    <w:rsid w:val="00AB7696"/>
    <w:rsid w:val="00AB7E22"/>
    <w:rsid w:val="00AC0767"/>
    <w:rsid w:val="00AC2D51"/>
    <w:rsid w:val="00AC448D"/>
    <w:rsid w:val="00AC592D"/>
    <w:rsid w:val="00AC6CC1"/>
    <w:rsid w:val="00AC7C4E"/>
    <w:rsid w:val="00AC7CE5"/>
    <w:rsid w:val="00AD43FB"/>
    <w:rsid w:val="00AD4688"/>
    <w:rsid w:val="00AD5CE0"/>
    <w:rsid w:val="00AD6825"/>
    <w:rsid w:val="00AD6DE1"/>
    <w:rsid w:val="00AD6DEA"/>
    <w:rsid w:val="00AE0F3A"/>
    <w:rsid w:val="00AE23F6"/>
    <w:rsid w:val="00AE2879"/>
    <w:rsid w:val="00AE3D32"/>
    <w:rsid w:val="00AE51ED"/>
    <w:rsid w:val="00AE5BA8"/>
    <w:rsid w:val="00AE73C9"/>
    <w:rsid w:val="00AF0B9F"/>
    <w:rsid w:val="00AF0FCF"/>
    <w:rsid w:val="00AF26E1"/>
    <w:rsid w:val="00AF29CD"/>
    <w:rsid w:val="00B03AFE"/>
    <w:rsid w:val="00B03EC8"/>
    <w:rsid w:val="00B04633"/>
    <w:rsid w:val="00B04A50"/>
    <w:rsid w:val="00B06572"/>
    <w:rsid w:val="00B0760D"/>
    <w:rsid w:val="00B07ABF"/>
    <w:rsid w:val="00B10EC1"/>
    <w:rsid w:val="00B12D84"/>
    <w:rsid w:val="00B13148"/>
    <w:rsid w:val="00B14B95"/>
    <w:rsid w:val="00B15A01"/>
    <w:rsid w:val="00B17377"/>
    <w:rsid w:val="00B20A62"/>
    <w:rsid w:val="00B22903"/>
    <w:rsid w:val="00B23772"/>
    <w:rsid w:val="00B2437E"/>
    <w:rsid w:val="00B25462"/>
    <w:rsid w:val="00B27EDA"/>
    <w:rsid w:val="00B3276C"/>
    <w:rsid w:val="00B333CC"/>
    <w:rsid w:val="00B337C7"/>
    <w:rsid w:val="00B33C82"/>
    <w:rsid w:val="00B33D35"/>
    <w:rsid w:val="00B33E1E"/>
    <w:rsid w:val="00B34DB6"/>
    <w:rsid w:val="00B3703F"/>
    <w:rsid w:val="00B40E54"/>
    <w:rsid w:val="00B417B4"/>
    <w:rsid w:val="00B4269B"/>
    <w:rsid w:val="00B44F09"/>
    <w:rsid w:val="00B44FC4"/>
    <w:rsid w:val="00B471A5"/>
    <w:rsid w:val="00B5019F"/>
    <w:rsid w:val="00B52587"/>
    <w:rsid w:val="00B54C53"/>
    <w:rsid w:val="00B5515B"/>
    <w:rsid w:val="00B57853"/>
    <w:rsid w:val="00B60015"/>
    <w:rsid w:val="00B62BCE"/>
    <w:rsid w:val="00B64A31"/>
    <w:rsid w:val="00B64FAD"/>
    <w:rsid w:val="00B67B3B"/>
    <w:rsid w:val="00B75403"/>
    <w:rsid w:val="00B75D27"/>
    <w:rsid w:val="00B760A7"/>
    <w:rsid w:val="00B7763B"/>
    <w:rsid w:val="00B7797D"/>
    <w:rsid w:val="00B86372"/>
    <w:rsid w:val="00B878ED"/>
    <w:rsid w:val="00B90186"/>
    <w:rsid w:val="00B91E63"/>
    <w:rsid w:val="00B92481"/>
    <w:rsid w:val="00B924B3"/>
    <w:rsid w:val="00B92BED"/>
    <w:rsid w:val="00B94B7C"/>
    <w:rsid w:val="00B94F76"/>
    <w:rsid w:val="00BA20C2"/>
    <w:rsid w:val="00BA59A7"/>
    <w:rsid w:val="00BA79B7"/>
    <w:rsid w:val="00BB2104"/>
    <w:rsid w:val="00BB2C34"/>
    <w:rsid w:val="00BB3332"/>
    <w:rsid w:val="00BB464B"/>
    <w:rsid w:val="00BC27AA"/>
    <w:rsid w:val="00BC4194"/>
    <w:rsid w:val="00BC51F2"/>
    <w:rsid w:val="00BC54D5"/>
    <w:rsid w:val="00BC6F41"/>
    <w:rsid w:val="00BD0ABF"/>
    <w:rsid w:val="00BD1E63"/>
    <w:rsid w:val="00BD2180"/>
    <w:rsid w:val="00BD339D"/>
    <w:rsid w:val="00BD3CB4"/>
    <w:rsid w:val="00BD5691"/>
    <w:rsid w:val="00BE088D"/>
    <w:rsid w:val="00BE0AC8"/>
    <w:rsid w:val="00BE3092"/>
    <w:rsid w:val="00BE6C2B"/>
    <w:rsid w:val="00BE73DF"/>
    <w:rsid w:val="00BE79A7"/>
    <w:rsid w:val="00BF303F"/>
    <w:rsid w:val="00BF5C3C"/>
    <w:rsid w:val="00BF6332"/>
    <w:rsid w:val="00BF6E21"/>
    <w:rsid w:val="00C032A6"/>
    <w:rsid w:val="00C04882"/>
    <w:rsid w:val="00C05AAF"/>
    <w:rsid w:val="00C062FD"/>
    <w:rsid w:val="00C107C3"/>
    <w:rsid w:val="00C10C07"/>
    <w:rsid w:val="00C10DA2"/>
    <w:rsid w:val="00C1183E"/>
    <w:rsid w:val="00C11F71"/>
    <w:rsid w:val="00C13C33"/>
    <w:rsid w:val="00C141D6"/>
    <w:rsid w:val="00C147FA"/>
    <w:rsid w:val="00C21DB2"/>
    <w:rsid w:val="00C22717"/>
    <w:rsid w:val="00C22885"/>
    <w:rsid w:val="00C22FFF"/>
    <w:rsid w:val="00C24675"/>
    <w:rsid w:val="00C2533A"/>
    <w:rsid w:val="00C27B2F"/>
    <w:rsid w:val="00C3104E"/>
    <w:rsid w:val="00C332AE"/>
    <w:rsid w:val="00C33D15"/>
    <w:rsid w:val="00C342FD"/>
    <w:rsid w:val="00C35D0D"/>
    <w:rsid w:val="00C40D03"/>
    <w:rsid w:val="00C4173C"/>
    <w:rsid w:val="00C42704"/>
    <w:rsid w:val="00C4270B"/>
    <w:rsid w:val="00C432E0"/>
    <w:rsid w:val="00C46C2E"/>
    <w:rsid w:val="00C47D36"/>
    <w:rsid w:val="00C50485"/>
    <w:rsid w:val="00C51173"/>
    <w:rsid w:val="00C52607"/>
    <w:rsid w:val="00C53D8C"/>
    <w:rsid w:val="00C56319"/>
    <w:rsid w:val="00C5767F"/>
    <w:rsid w:val="00C62955"/>
    <w:rsid w:val="00C633D4"/>
    <w:rsid w:val="00C64709"/>
    <w:rsid w:val="00C65A77"/>
    <w:rsid w:val="00C67782"/>
    <w:rsid w:val="00C704D2"/>
    <w:rsid w:val="00C71245"/>
    <w:rsid w:val="00C7164D"/>
    <w:rsid w:val="00C755DC"/>
    <w:rsid w:val="00C832E7"/>
    <w:rsid w:val="00C857E3"/>
    <w:rsid w:val="00C90B98"/>
    <w:rsid w:val="00C90EFB"/>
    <w:rsid w:val="00C91382"/>
    <w:rsid w:val="00C97C5E"/>
    <w:rsid w:val="00CA0907"/>
    <w:rsid w:val="00CA218C"/>
    <w:rsid w:val="00CA3790"/>
    <w:rsid w:val="00CA438B"/>
    <w:rsid w:val="00CA43F8"/>
    <w:rsid w:val="00CA6DC6"/>
    <w:rsid w:val="00CB0BB1"/>
    <w:rsid w:val="00CB184C"/>
    <w:rsid w:val="00CB2A50"/>
    <w:rsid w:val="00CB5959"/>
    <w:rsid w:val="00CB6335"/>
    <w:rsid w:val="00CC0641"/>
    <w:rsid w:val="00CC557D"/>
    <w:rsid w:val="00CC5A59"/>
    <w:rsid w:val="00CC6C93"/>
    <w:rsid w:val="00CC7BBF"/>
    <w:rsid w:val="00CD5205"/>
    <w:rsid w:val="00CD5E19"/>
    <w:rsid w:val="00CD6A24"/>
    <w:rsid w:val="00CE28BF"/>
    <w:rsid w:val="00CE2E2F"/>
    <w:rsid w:val="00CE34D6"/>
    <w:rsid w:val="00CF0F7F"/>
    <w:rsid w:val="00CF21AE"/>
    <w:rsid w:val="00CF24D8"/>
    <w:rsid w:val="00CF266B"/>
    <w:rsid w:val="00CF6C17"/>
    <w:rsid w:val="00CF7679"/>
    <w:rsid w:val="00D011FE"/>
    <w:rsid w:val="00D04D62"/>
    <w:rsid w:val="00D04E81"/>
    <w:rsid w:val="00D06386"/>
    <w:rsid w:val="00D0719B"/>
    <w:rsid w:val="00D10EF1"/>
    <w:rsid w:val="00D1201D"/>
    <w:rsid w:val="00D13AA7"/>
    <w:rsid w:val="00D15AD8"/>
    <w:rsid w:val="00D204AD"/>
    <w:rsid w:val="00D24C24"/>
    <w:rsid w:val="00D24CE4"/>
    <w:rsid w:val="00D25BA7"/>
    <w:rsid w:val="00D264B5"/>
    <w:rsid w:val="00D27A4E"/>
    <w:rsid w:val="00D30A94"/>
    <w:rsid w:val="00D30E01"/>
    <w:rsid w:val="00D3163B"/>
    <w:rsid w:val="00D31959"/>
    <w:rsid w:val="00D33BE6"/>
    <w:rsid w:val="00D356B0"/>
    <w:rsid w:val="00D356F6"/>
    <w:rsid w:val="00D36DC9"/>
    <w:rsid w:val="00D421AF"/>
    <w:rsid w:val="00D4251C"/>
    <w:rsid w:val="00D45BAF"/>
    <w:rsid w:val="00D47452"/>
    <w:rsid w:val="00D50D09"/>
    <w:rsid w:val="00D51B94"/>
    <w:rsid w:val="00D52208"/>
    <w:rsid w:val="00D54EA6"/>
    <w:rsid w:val="00D56E8F"/>
    <w:rsid w:val="00D617CE"/>
    <w:rsid w:val="00D64431"/>
    <w:rsid w:val="00D65D3B"/>
    <w:rsid w:val="00D71440"/>
    <w:rsid w:val="00D75385"/>
    <w:rsid w:val="00D758F3"/>
    <w:rsid w:val="00D77893"/>
    <w:rsid w:val="00D81916"/>
    <w:rsid w:val="00D835D2"/>
    <w:rsid w:val="00D83C72"/>
    <w:rsid w:val="00D84A25"/>
    <w:rsid w:val="00D93488"/>
    <w:rsid w:val="00D94ED4"/>
    <w:rsid w:val="00D95E75"/>
    <w:rsid w:val="00D97E6F"/>
    <w:rsid w:val="00D97FC5"/>
    <w:rsid w:val="00DA1123"/>
    <w:rsid w:val="00DA19FC"/>
    <w:rsid w:val="00DA44CC"/>
    <w:rsid w:val="00DA4BAE"/>
    <w:rsid w:val="00DB118C"/>
    <w:rsid w:val="00DB129E"/>
    <w:rsid w:val="00DB2F2A"/>
    <w:rsid w:val="00DB368A"/>
    <w:rsid w:val="00DB44BA"/>
    <w:rsid w:val="00DB44D7"/>
    <w:rsid w:val="00DB53A9"/>
    <w:rsid w:val="00DB76B6"/>
    <w:rsid w:val="00DB7817"/>
    <w:rsid w:val="00DC0B38"/>
    <w:rsid w:val="00DC281B"/>
    <w:rsid w:val="00DC3D4E"/>
    <w:rsid w:val="00DC4D98"/>
    <w:rsid w:val="00DC61B6"/>
    <w:rsid w:val="00DD0735"/>
    <w:rsid w:val="00DD3C44"/>
    <w:rsid w:val="00DD3EF5"/>
    <w:rsid w:val="00DD6B35"/>
    <w:rsid w:val="00DF0ADF"/>
    <w:rsid w:val="00DF13CB"/>
    <w:rsid w:val="00DF1896"/>
    <w:rsid w:val="00DF2D43"/>
    <w:rsid w:val="00DF57D5"/>
    <w:rsid w:val="00DF58DF"/>
    <w:rsid w:val="00E003AF"/>
    <w:rsid w:val="00E0267A"/>
    <w:rsid w:val="00E0352A"/>
    <w:rsid w:val="00E0601A"/>
    <w:rsid w:val="00E07859"/>
    <w:rsid w:val="00E116B5"/>
    <w:rsid w:val="00E13A5E"/>
    <w:rsid w:val="00E13BBA"/>
    <w:rsid w:val="00E1462D"/>
    <w:rsid w:val="00E15C36"/>
    <w:rsid w:val="00E16017"/>
    <w:rsid w:val="00E16DE8"/>
    <w:rsid w:val="00E2353C"/>
    <w:rsid w:val="00E25F2D"/>
    <w:rsid w:val="00E31673"/>
    <w:rsid w:val="00E32484"/>
    <w:rsid w:val="00E33BCC"/>
    <w:rsid w:val="00E34FDD"/>
    <w:rsid w:val="00E3791B"/>
    <w:rsid w:val="00E403CD"/>
    <w:rsid w:val="00E4643F"/>
    <w:rsid w:val="00E47A57"/>
    <w:rsid w:val="00E5012C"/>
    <w:rsid w:val="00E528DD"/>
    <w:rsid w:val="00E55FF3"/>
    <w:rsid w:val="00E60B4B"/>
    <w:rsid w:val="00E60BBF"/>
    <w:rsid w:val="00E60E40"/>
    <w:rsid w:val="00E620BE"/>
    <w:rsid w:val="00E66730"/>
    <w:rsid w:val="00E66781"/>
    <w:rsid w:val="00E704BF"/>
    <w:rsid w:val="00E704FE"/>
    <w:rsid w:val="00E70F54"/>
    <w:rsid w:val="00E71A91"/>
    <w:rsid w:val="00E73225"/>
    <w:rsid w:val="00E745FC"/>
    <w:rsid w:val="00E75B73"/>
    <w:rsid w:val="00E76508"/>
    <w:rsid w:val="00E76D4B"/>
    <w:rsid w:val="00E81475"/>
    <w:rsid w:val="00E854CD"/>
    <w:rsid w:val="00E958AE"/>
    <w:rsid w:val="00E959B0"/>
    <w:rsid w:val="00EA42A3"/>
    <w:rsid w:val="00EA74AD"/>
    <w:rsid w:val="00EB2B11"/>
    <w:rsid w:val="00EB7F9F"/>
    <w:rsid w:val="00EC0CA9"/>
    <w:rsid w:val="00EC49EB"/>
    <w:rsid w:val="00EC593D"/>
    <w:rsid w:val="00ED225C"/>
    <w:rsid w:val="00ED35E0"/>
    <w:rsid w:val="00EE1E11"/>
    <w:rsid w:val="00EE3523"/>
    <w:rsid w:val="00EE6A8B"/>
    <w:rsid w:val="00EE7A08"/>
    <w:rsid w:val="00EF07FF"/>
    <w:rsid w:val="00EF37B0"/>
    <w:rsid w:val="00EF65FF"/>
    <w:rsid w:val="00F01CC2"/>
    <w:rsid w:val="00F01CF7"/>
    <w:rsid w:val="00F03BD2"/>
    <w:rsid w:val="00F05DF9"/>
    <w:rsid w:val="00F11172"/>
    <w:rsid w:val="00F116D4"/>
    <w:rsid w:val="00F14F91"/>
    <w:rsid w:val="00F16276"/>
    <w:rsid w:val="00F16B2E"/>
    <w:rsid w:val="00F16CBD"/>
    <w:rsid w:val="00F16F4D"/>
    <w:rsid w:val="00F17F9C"/>
    <w:rsid w:val="00F21BCE"/>
    <w:rsid w:val="00F22CE8"/>
    <w:rsid w:val="00F2342B"/>
    <w:rsid w:val="00F23C10"/>
    <w:rsid w:val="00F261A3"/>
    <w:rsid w:val="00F272F3"/>
    <w:rsid w:val="00F3000F"/>
    <w:rsid w:val="00F306C3"/>
    <w:rsid w:val="00F31857"/>
    <w:rsid w:val="00F34AC9"/>
    <w:rsid w:val="00F34DA7"/>
    <w:rsid w:val="00F3510F"/>
    <w:rsid w:val="00F361D5"/>
    <w:rsid w:val="00F41154"/>
    <w:rsid w:val="00F475F8"/>
    <w:rsid w:val="00F51681"/>
    <w:rsid w:val="00F51E3D"/>
    <w:rsid w:val="00F52710"/>
    <w:rsid w:val="00F55143"/>
    <w:rsid w:val="00F57A62"/>
    <w:rsid w:val="00F625A6"/>
    <w:rsid w:val="00F644F4"/>
    <w:rsid w:val="00F65453"/>
    <w:rsid w:val="00F660CB"/>
    <w:rsid w:val="00F67382"/>
    <w:rsid w:val="00F75CFE"/>
    <w:rsid w:val="00F75F54"/>
    <w:rsid w:val="00F814A0"/>
    <w:rsid w:val="00F83639"/>
    <w:rsid w:val="00F841C6"/>
    <w:rsid w:val="00F85B7E"/>
    <w:rsid w:val="00F8633D"/>
    <w:rsid w:val="00F90FDD"/>
    <w:rsid w:val="00F91B34"/>
    <w:rsid w:val="00F91BF3"/>
    <w:rsid w:val="00F91D15"/>
    <w:rsid w:val="00F933C4"/>
    <w:rsid w:val="00F937DF"/>
    <w:rsid w:val="00F954EE"/>
    <w:rsid w:val="00FA063D"/>
    <w:rsid w:val="00FA2939"/>
    <w:rsid w:val="00FA7F8A"/>
    <w:rsid w:val="00FB3B88"/>
    <w:rsid w:val="00FB4443"/>
    <w:rsid w:val="00FB6C32"/>
    <w:rsid w:val="00FC1A86"/>
    <w:rsid w:val="00FC4D3B"/>
    <w:rsid w:val="00FC7A56"/>
    <w:rsid w:val="00FD0B0A"/>
    <w:rsid w:val="00FD1CD7"/>
    <w:rsid w:val="00FD23CD"/>
    <w:rsid w:val="00FD4988"/>
    <w:rsid w:val="00FD4E1B"/>
    <w:rsid w:val="00FE1068"/>
    <w:rsid w:val="00FE252A"/>
    <w:rsid w:val="00FE5401"/>
    <w:rsid w:val="00FF0B23"/>
    <w:rsid w:val="00FF1902"/>
    <w:rsid w:val="00FF3E23"/>
    <w:rsid w:val="00FF3FB8"/>
    <w:rsid w:val="00FF52CE"/>
    <w:rsid w:val="00FF63D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DD395EA"/>
  <w15:chartTrackingRefBased/>
  <w15:docId w15:val="{16649052-E3F1-442F-9E76-F2C07921D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B878E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B878E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331FD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207B0E"/>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0B878ED"/>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A47D8A"/>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ntros">
    <w:name w:val="Intros"/>
    <w:basedOn w:val="Normal"/>
    <w:qFormat/>
    <w:rsid w:val="00E13A5E"/>
    <w:pPr>
      <w:spacing w:after="120" w:line="276" w:lineRule="auto"/>
    </w:pPr>
    <w:rPr>
      <w:b/>
      <w:color w:val="808080" w:themeColor="background1" w:themeShade="80"/>
      <w:sz w:val="24"/>
      <w:szCs w:val="24"/>
      <w:lang w:val="en-GB"/>
    </w:rPr>
  </w:style>
  <w:style w:type="character" w:styleId="Hyperlink">
    <w:name w:val="Hyperlink"/>
    <w:basedOn w:val="DefaultParagraphFont"/>
    <w:uiPriority w:val="99"/>
    <w:unhideWhenUsed/>
    <w:rsid w:val="00B878ED"/>
    <w:rPr>
      <w:color w:val="0563C1" w:themeColor="hyperlink"/>
      <w:u w:val="single"/>
    </w:rPr>
  </w:style>
  <w:style w:type="character" w:customStyle="1" w:styleId="Heading1Char">
    <w:name w:val="Heading 1 Char"/>
    <w:basedOn w:val="DefaultParagraphFont"/>
    <w:link w:val="Heading1"/>
    <w:uiPriority w:val="9"/>
    <w:rsid w:val="00B878ED"/>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B878ED"/>
    <w:rPr>
      <w:rFonts w:asciiTheme="majorHAnsi" w:eastAsiaTheme="majorEastAsia" w:hAnsiTheme="majorHAnsi" w:cstheme="majorBidi"/>
      <w:color w:val="2E74B5" w:themeColor="accent1" w:themeShade="BF"/>
      <w:sz w:val="26"/>
      <w:szCs w:val="26"/>
    </w:rPr>
  </w:style>
  <w:style w:type="character" w:customStyle="1" w:styleId="Heading5Char">
    <w:name w:val="Heading 5 Char"/>
    <w:basedOn w:val="DefaultParagraphFont"/>
    <w:link w:val="Heading5"/>
    <w:uiPriority w:val="9"/>
    <w:rsid w:val="00B878ED"/>
    <w:rPr>
      <w:rFonts w:asciiTheme="majorHAnsi" w:eastAsiaTheme="majorEastAsia" w:hAnsiTheme="majorHAnsi" w:cstheme="majorBidi"/>
      <w:color w:val="2E74B5" w:themeColor="accent1" w:themeShade="BF"/>
    </w:rPr>
  </w:style>
  <w:style w:type="paragraph" w:styleId="ListParagraph">
    <w:name w:val="List Paragraph"/>
    <w:aliases w:val="List Paragraph1,List Paragraph11,List Paragraph2,Recommendation,Bullet 1,CV text,Dot pt,F5 List Paragraph,Indicator Text,L,List Paragraph Char Char Char,List Paragraph111,MAIN CONTENT,Normal numbered,Numbered Para 1,bullet point list,列出段落"/>
    <w:basedOn w:val="Normal"/>
    <w:link w:val="ListParagraphChar"/>
    <w:uiPriority w:val="34"/>
    <w:qFormat/>
    <w:rsid w:val="00B878ED"/>
    <w:pPr>
      <w:ind w:left="720"/>
      <w:contextualSpacing/>
    </w:pPr>
  </w:style>
  <w:style w:type="paragraph" w:styleId="FootnoteText">
    <w:name w:val="footnote text"/>
    <w:aliases w:val="Footnote Text Char1 Char,Footnote Text Char Char Char,Footnote Text Char1 Char Char Char,Footnote Text Char Char Char Char Char,Footnote Text Char2 Char Char Char Char Char,Footnote Text Char1,Footnote Text Char Char,fn,5_G,Table/Chart Ref"/>
    <w:basedOn w:val="Normal"/>
    <w:link w:val="FootnoteTextChar"/>
    <w:uiPriority w:val="99"/>
    <w:unhideWhenUsed/>
    <w:rsid w:val="00331FD1"/>
    <w:pPr>
      <w:spacing w:after="0" w:line="240" w:lineRule="auto"/>
    </w:pPr>
    <w:rPr>
      <w:sz w:val="20"/>
      <w:szCs w:val="20"/>
    </w:rPr>
  </w:style>
  <w:style w:type="character" w:customStyle="1" w:styleId="FootnoteTextChar">
    <w:name w:val="Footnote Text Char"/>
    <w:aliases w:val="Footnote Text Char1 Char Char,Footnote Text Char Char Char Char,Footnote Text Char1 Char Char Char Char,Footnote Text Char Char Char Char Char Char,Footnote Text Char2 Char Char Char Char Char Char,Footnote Text Char1 Char1,fn Char"/>
    <w:basedOn w:val="DefaultParagraphFont"/>
    <w:link w:val="FootnoteText"/>
    <w:uiPriority w:val="99"/>
    <w:rsid w:val="00331FD1"/>
    <w:rPr>
      <w:sz w:val="20"/>
      <w:szCs w:val="20"/>
    </w:rPr>
  </w:style>
  <w:style w:type="character" w:styleId="FootnoteReference">
    <w:name w:val="footnote reference"/>
    <w:aliases w:val="Footnotes refss,ftref,4_G,4_G Char Char Char Char Char,Footnotes refss Char Char Char Char Char,ftref Char Char Char Char Char,BVI fnr Char Char Char Char Char,BVI fnr Car Car Char Char Char Char Char,Ref,de nota al pie,註腳內容,11 pt"/>
    <w:basedOn w:val="DefaultParagraphFont"/>
    <w:link w:val="4GCharCharCharChar"/>
    <w:uiPriority w:val="99"/>
    <w:unhideWhenUsed/>
    <w:rsid w:val="00331FD1"/>
    <w:rPr>
      <w:vertAlign w:val="superscript"/>
    </w:rPr>
  </w:style>
  <w:style w:type="character" w:customStyle="1" w:styleId="Heading3Char">
    <w:name w:val="Heading 3 Char"/>
    <w:basedOn w:val="DefaultParagraphFont"/>
    <w:link w:val="Heading3"/>
    <w:uiPriority w:val="9"/>
    <w:rsid w:val="00331FD1"/>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207B0E"/>
    <w:rPr>
      <w:rFonts w:asciiTheme="majorHAnsi" w:eastAsiaTheme="majorEastAsia" w:hAnsiTheme="majorHAnsi" w:cstheme="majorBidi"/>
      <w:i/>
      <w:iCs/>
      <w:color w:val="2E74B5" w:themeColor="accent1" w:themeShade="BF"/>
    </w:rPr>
  </w:style>
  <w:style w:type="paragraph" w:customStyle="1" w:styleId="4GCharCharCharChar">
    <w:name w:val="4_G Char Char Char Char"/>
    <w:aliases w:val="Footnotes refss Char Char Char Char,ftref Char Char Char Char,BVI fnr Char Char Char Char,BVI fnr Car Car Char Char Char Char,BVI fnr Car Char Char Char Char,BVI fnr Car Car Car Car Char Char1 Char Char"/>
    <w:basedOn w:val="Normal"/>
    <w:link w:val="FootnoteReference"/>
    <w:uiPriority w:val="99"/>
    <w:rsid w:val="00537162"/>
    <w:pPr>
      <w:spacing w:line="240" w:lineRule="exact"/>
      <w:jc w:val="both"/>
    </w:pPr>
    <w:rPr>
      <w:vertAlign w:val="superscript"/>
    </w:rPr>
  </w:style>
  <w:style w:type="table" w:styleId="GridTable2-Accent5">
    <w:name w:val="Grid Table 2 Accent 5"/>
    <w:basedOn w:val="TableNormal"/>
    <w:uiPriority w:val="47"/>
    <w:rsid w:val="002322BA"/>
    <w:pPr>
      <w:spacing w:after="0" w:line="240" w:lineRule="auto"/>
    </w:p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CommentReference">
    <w:name w:val="annotation reference"/>
    <w:basedOn w:val="DefaultParagraphFont"/>
    <w:uiPriority w:val="99"/>
    <w:semiHidden/>
    <w:unhideWhenUsed/>
    <w:rsid w:val="007E5E5A"/>
    <w:rPr>
      <w:sz w:val="16"/>
      <w:szCs w:val="16"/>
    </w:rPr>
  </w:style>
  <w:style w:type="paragraph" w:styleId="CommentText">
    <w:name w:val="annotation text"/>
    <w:basedOn w:val="Normal"/>
    <w:link w:val="CommentTextChar"/>
    <w:uiPriority w:val="99"/>
    <w:unhideWhenUsed/>
    <w:rsid w:val="007E5E5A"/>
    <w:pPr>
      <w:spacing w:line="240" w:lineRule="auto"/>
    </w:pPr>
    <w:rPr>
      <w:sz w:val="20"/>
      <w:szCs w:val="20"/>
    </w:rPr>
  </w:style>
  <w:style w:type="character" w:customStyle="1" w:styleId="CommentTextChar">
    <w:name w:val="Comment Text Char"/>
    <w:basedOn w:val="DefaultParagraphFont"/>
    <w:link w:val="CommentText"/>
    <w:uiPriority w:val="99"/>
    <w:rsid w:val="007E5E5A"/>
    <w:rPr>
      <w:sz w:val="20"/>
      <w:szCs w:val="20"/>
    </w:rPr>
  </w:style>
  <w:style w:type="paragraph" w:styleId="CommentSubject">
    <w:name w:val="annotation subject"/>
    <w:basedOn w:val="CommentText"/>
    <w:next w:val="CommentText"/>
    <w:link w:val="CommentSubjectChar"/>
    <w:uiPriority w:val="99"/>
    <w:semiHidden/>
    <w:unhideWhenUsed/>
    <w:rsid w:val="007E5E5A"/>
    <w:rPr>
      <w:b/>
      <w:bCs/>
    </w:rPr>
  </w:style>
  <w:style w:type="character" w:customStyle="1" w:styleId="CommentSubjectChar">
    <w:name w:val="Comment Subject Char"/>
    <w:basedOn w:val="CommentTextChar"/>
    <w:link w:val="CommentSubject"/>
    <w:uiPriority w:val="99"/>
    <w:semiHidden/>
    <w:rsid w:val="007E5E5A"/>
    <w:rPr>
      <w:b/>
      <w:bCs/>
      <w:sz w:val="20"/>
      <w:szCs w:val="20"/>
    </w:rPr>
  </w:style>
  <w:style w:type="paragraph" w:styleId="BalloonText">
    <w:name w:val="Balloon Text"/>
    <w:basedOn w:val="Normal"/>
    <w:link w:val="BalloonTextChar"/>
    <w:uiPriority w:val="99"/>
    <w:semiHidden/>
    <w:unhideWhenUsed/>
    <w:rsid w:val="007E5E5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5E5A"/>
    <w:rPr>
      <w:rFonts w:ascii="Segoe UI" w:hAnsi="Segoe UI" w:cs="Segoe UI"/>
      <w:sz w:val="18"/>
      <w:szCs w:val="18"/>
    </w:rPr>
  </w:style>
  <w:style w:type="paragraph" w:styleId="Header">
    <w:name w:val="header"/>
    <w:basedOn w:val="Normal"/>
    <w:link w:val="HeaderChar"/>
    <w:uiPriority w:val="99"/>
    <w:unhideWhenUsed/>
    <w:rsid w:val="004F230C"/>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230C"/>
  </w:style>
  <w:style w:type="paragraph" w:styleId="Footer">
    <w:name w:val="footer"/>
    <w:basedOn w:val="Normal"/>
    <w:link w:val="FooterChar"/>
    <w:uiPriority w:val="99"/>
    <w:unhideWhenUsed/>
    <w:rsid w:val="004F230C"/>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230C"/>
  </w:style>
  <w:style w:type="character" w:customStyle="1" w:styleId="ListParagraphChar">
    <w:name w:val="List Paragraph Char"/>
    <w:aliases w:val="List Paragraph1 Char,List Paragraph11 Char,List Paragraph2 Char,Recommendation Char,Bullet 1 Char,CV text Char,Dot pt Char,F5 List Paragraph Char,Indicator Text Char,L Char,List Paragraph Char Char Char Char,List Paragraph111 Char"/>
    <w:basedOn w:val="DefaultParagraphFont"/>
    <w:link w:val="ListParagraph"/>
    <w:uiPriority w:val="34"/>
    <w:locked/>
    <w:rsid w:val="004F230C"/>
  </w:style>
  <w:style w:type="paragraph" w:styleId="TOCHeading">
    <w:name w:val="TOC Heading"/>
    <w:basedOn w:val="Heading1"/>
    <w:next w:val="Normal"/>
    <w:uiPriority w:val="39"/>
    <w:unhideWhenUsed/>
    <w:qFormat/>
    <w:rsid w:val="004F230C"/>
    <w:pPr>
      <w:outlineLvl w:val="9"/>
    </w:pPr>
    <w:rPr>
      <w:lang w:val="en-US"/>
    </w:rPr>
  </w:style>
  <w:style w:type="paragraph" w:styleId="TOC1">
    <w:name w:val="toc 1"/>
    <w:basedOn w:val="Normal"/>
    <w:next w:val="Normal"/>
    <w:autoRedefine/>
    <w:uiPriority w:val="39"/>
    <w:unhideWhenUsed/>
    <w:rsid w:val="004F230C"/>
    <w:pPr>
      <w:spacing w:after="100"/>
    </w:pPr>
  </w:style>
  <w:style w:type="paragraph" w:styleId="TOC2">
    <w:name w:val="toc 2"/>
    <w:basedOn w:val="Normal"/>
    <w:next w:val="Normal"/>
    <w:autoRedefine/>
    <w:uiPriority w:val="39"/>
    <w:unhideWhenUsed/>
    <w:rsid w:val="004F230C"/>
    <w:pPr>
      <w:spacing w:after="100"/>
      <w:ind w:left="220"/>
    </w:pPr>
  </w:style>
  <w:style w:type="paragraph" w:styleId="TOC3">
    <w:name w:val="toc 3"/>
    <w:basedOn w:val="Normal"/>
    <w:next w:val="Normal"/>
    <w:autoRedefine/>
    <w:uiPriority w:val="39"/>
    <w:unhideWhenUsed/>
    <w:rsid w:val="004F230C"/>
    <w:pPr>
      <w:spacing w:after="100"/>
      <w:ind w:left="440"/>
    </w:pPr>
  </w:style>
  <w:style w:type="paragraph" w:styleId="Title">
    <w:name w:val="Title"/>
    <w:basedOn w:val="Normal"/>
    <w:next w:val="Normal"/>
    <w:link w:val="TitleChar"/>
    <w:uiPriority w:val="10"/>
    <w:qFormat/>
    <w:rsid w:val="00E16017"/>
    <w:pPr>
      <w:spacing w:before="120" w:after="120" w:line="240" w:lineRule="auto"/>
      <w:contextualSpacing/>
    </w:pPr>
    <w:rPr>
      <w:rFonts w:asciiTheme="majorHAnsi" w:eastAsiaTheme="majorEastAsia" w:hAnsiTheme="majorHAnsi" w:cstheme="majorBidi"/>
      <w:b/>
      <w:spacing w:val="5"/>
      <w:kern w:val="28"/>
      <w:sz w:val="40"/>
      <w:szCs w:val="52"/>
    </w:rPr>
  </w:style>
  <w:style w:type="character" w:customStyle="1" w:styleId="TitleChar">
    <w:name w:val="Title Char"/>
    <w:basedOn w:val="DefaultParagraphFont"/>
    <w:link w:val="Title"/>
    <w:uiPriority w:val="10"/>
    <w:rsid w:val="00E16017"/>
    <w:rPr>
      <w:rFonts w:asciiTheme="majorHAnsi" w:eastAsiaTheme="majorEastAsia" w:hAnsiTheme="majorHAnsi" w:cstheme="majorBidi"/>
      <w:b/>
      <w:spacing w:val="5"/>
      <w:kern w:val="28"/>
      <w:sz w:val="40"/>
      <w:szCs w:val="52"/>
    </w:rPr>
  </w:style>
  <w:style w:type="paragraph" w:styleId="BodyText">
    <w:name w:val="Body Text"/>
    <w:basedOn w:val="Normal"/>
    <w:link w:val="BodyTextChar"/>
    <w:uiPriority w:val="99"/>
    <w:semiHidden/>
    <w:unhideWhenUsed/>
    <w:rsid w:val="006E049E"/>
    <w:pPr>
      <w:spacing w:after="120"/>
    </w:pPr>
  </w:style>
  <w:style w:type="character" w:customStyle="1" w:styleId="BodyTextChar">
    <w:name w:val="Body Text Char"/>
    <w:basedOn w:val="DefaultParagraphFont"/>
    <w:link w:val="BodyText"/>
    <w:uiPriority w:val="99"/>
    <w:semiHidden/>
    <w:rsid w:val="006E049E"/>
  </w:style>
  <w:style w:type="paragraph" w:customStyle="1" w:styleId="Casestudy">
    <w:name w:val="Case study"/>
    <w:basedOn w:val="Normal"/>
    <w:qFormat/>
    <w:rsid w:val="00351CD1"/>
    <w:pPr>
      <w:pBdr>
        <w:top w:val="single" w:sz="4" w:space="4" w:color="ED7D31" w:themeColor="accent2"/>
        <w:left w:val="single" w:sz="4" w:space="4" w:color="ED7D31" w:themeColor="accent2"/>
        <w:bottom w:val="single" w:sz="4" w:space="4" w:color="ED7D31" w:themeColor="accent2"/>
        <w:right w:val="single" w:sz="4" w:space="4" w:color="ED7D31" w:themeColor="accent2"/>
      </w:pBdr>
      <w:shd w:val="clear" w:color="auto" w:fill="FDF1E9" w:themeFill="accent2" w:themeFillTint="1A"/>
      <w:spacing w:after="120" w:line="276" w:lineRule="auto"/>
      <w:ind w:left="113" w:right="113"/>
    </w:pPr>
    <w:rPr>
      <w:sz w:val="20"/>
    </w:rPr>
  </w:style>
  <w:style w:type="character" w:customStyle="1" w:styleId="Tabletitle">
    <w:name w:val="Table title"/>
    <w:basedOn w:val="DefaultParagraphFont"/>
    <w:uiPriority w:val="1"/>
    <w:qFormat/>
    <w:rsid w:val="00C704D2"/>
    <w:rPr>
      <w:b/>
      <w:color w:val="5B9BD5" w:themeColor="accent1"/>
    </w:rPr>
  </w:style>
  <w:style w:type="character" w:styleId="FollowedHyperlink">
    <w:name w:val="FollowedHyperlink"/>
    <w:basedOn w:val="DefaultParagraphFont"/>
    <w:uiPriority w:val="99"/>
    <w:semiHidden/>
    <w:unhideWhenUsed/>
    <w:rsid w:val="00DF13CB"/>
    <w:rPr>
      <w:color w:val="954F72" w:themeColor="followedHyperlink"/>
      <w:u w:val="single"/>
    </w:rPr>
  </w:style>
  <w:style w:type="paragraph" w:styleId="Revision">
    <w:name w:val="Revision"/>
    <w:hidden/>
    <w:uiPriority w:val="99"/>
    <w:semiHidden/>
    <w:rsid w:val="007C48D6"/>
    <w:pPr>
      <w:spacing w:after="0" w:line="240" w:lineRule="auto"/>
    </w:pPr>
  </w:style>
  <w:style w:type="character" w:customStyle="1" w:styleId="Heading6Char">
    <w:name w:val="Heading 6 Char"/>
    <w:basedOn w:val="DefaultParagraphFont"/>
    <w:link w:val="Heading6"/>
    <w:uiPriority w:val="9"/>
    <w:rsid w:val="00A47D8A"/>
    <w:rPr>
      <w:rFonts w:asciiTheme="majorHAnsi" w:eastAsiaTheme="majorEastAsia" w:hAnsiTheme="majorHAnsi" w:cstheme="majorBidi"/>
      <w:color w:val="1F4D78" w:themeColor="accent1" w:themeShade="7F"/>
    </w:rPr>
  </w:style>
  <w:style w:type="paragraph" w:styleId="NoSpacing">
    <w:name w:val="No Spacing"/>
    <w:uiPriority w:val="1"/>
    <w:qFormat/>
    <w:rsid w:val="00A47D8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consult.industry.gov.au/measurement-law-review/measurement-in-everyday-life" TargetMode="External"/><Relationship Id="rId18" Type="http://schemas.openxmlformats.org/officeDocument/2006/relationships/hyperlink" Target="https://consult.industry.gov.au/measurement-law-review/scope/" TargetMode="External"/><Relationship Id="rId3" Type="http://schemas.openxmlformats.org/officeDocument/2006/relationships/customXml" Target="../customXml/item3.xml"/><Relationship Id="rId21" Type="http://schemas.openxmlformats.org/officeDocument/2006/relationships/hyperlink" Target="https://measurement.gov.au/Publications/NMIVDocuments/Documents/Sampling-and-Test-Procedures-for-Prepackaged-Products.pdf"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consult.industry.gov.au/measurement-law-review/measurement-in-everyday-life"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industry.gov.au/measurement-law-review" TargetMode="External"/><Relationship Id="rId20" Type="http://schemas.openxmlformats.org/officeDocument/2006/relationships/hyperlink" Target="https://www.measurement.gov.au/Industry/business/Documents/ApprovalSaleProductsNumberLinearAreaMeasurement.pdf"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mailto:measurementlawreview@industry.gov.au" TargetMode="Externa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s://consult.industry.gov.au/measurement-law-review/measurement-in-everyday-life"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legislation.gov.au/" TargetMode="External"/><Relationship Id="rId22"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www.aplmf.org/canada.html" TargetMode="External"/><Relationship Id="rId2" Type="http://schemas.openxmlformats.org/officeDocument/2006/relationships/hyperlink" Target="https://consult.industry.gov.au/measurement-law-review/measurement-in-everyday-life" TargetMode="External"/><Relationship Id="rId1" Type="http://schemas.openxmlformats.org/officeDocument/2006/relationships/hyperlink" Target="https://www.measurement.gov.au/Industry/NationalData/Documents/Trade-Measurement-Compliance-in-2017-18.pdf" TargetMode="External"/><Relationship Id="rId5" Type="http://schemas.openxmlformats.org/officeDocument/2006/relationships/hyperlink" Target="https://www.aplmf.org/japan.html" TargetMode="External"/><Relationship Id="rId4" Type="http://schemas.openxmlformats.org/officeDocument/2006/relationships/hyperlink" Target="https://www.gov.uk/weights-measures-and-packaging-the-law/specified-quantit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http://schemas.microsoft.com/sharepoint/v3" xsi:nil="true"/>
    <pe2555c81638466f9eb614edb9ecde52 xmlns="ef1c6b3d-2616-4020-9054-bdf2c47fde80">
      <Terms xmlns="http://schemas.microsoft.com/office/infopath/2007/PartnerControls">
        <TermInfo xmlns="http://schemas.microsoft.com/office/infopath/2007/PartnerControls">
          <TermName xmlns="http://schemas.microsoft.com/office/infopath/2007/PartnerControls">Paper</TermName>
          <TermId xmlns="http://schemas.microsoft.com/office/infopath/2007/PartnerControls">4fd73e9f-ceb6-4d3f-8d1d-e6ca9b922532</TermId>
        </TermInfo>
      </Terms>
    </pe2555c81638466f9eb614edb9ecde52>
    <g7bcb40ba23249a78edca7d43a67c1c9 xmlns="ef1c6b3d-2616-4020-9054-bdf2c47fde80">
      <Terms xmlns="http://schemas.microsoft.com/office/infopath/2007/PartnerControls">
        <TermInfo xmlns="http://schemas.microsoft.com/office/infopath/2007/PartnerControls">
          <TermName xmlns="http://schemas.microsoft.com/office/infopath/2007/PartnerControls">Engagement</TermName>
          <TermId xmlns="http://schemas.microsoft.com/office/infopath/2007/PartnerControls">70267ed8-6bd2-4b96-bc60-cce33581fb54</TermId>
        </TermInfo>
      </Terms>
    </g7bcb40ba23249a78edca7d43a67c1c9>
    <n99e4c9942c6404eb103464a00e6097b xmlns="ef1c6b3d-2616-4020-9054-bdf2c47fde80">
      <Terms xmlns="http://schemas.microsoft.com/office/infopath/2007/PartnerControls"/>
    </n99e4c9942c6404eb103464a00e6097b>
    <adb9bed2e36e4a93af574aeb444da63e xmlns="ef1c6b3d-2616-4020-9054-bdf2c47fde80">
      <Terms xmlns="http://schemas.microsoft.com/office/infopath/2007/PartnerControls">
        <TermInfo xmlns="http://schemas.microsoft.com/office/infopath/2007/PartnerControls">
          <TermName xmlns="http://schemas.microsoft.com/office/infopath/2007/PartnerControls">legislative review</TermName>
          <TermId xmlns="http://schemas.microsoft.com/office/infopath/2007/PartnerControls">a9a2bc7a-7334-4fb7-b490-5f5bcf70e530</TermId>
        </TermInfo>
      </Terms>
    </adb9bed2e36e4a93af574aeb444da63e>
    <TaxCatchAll xmlns="ef1c6b3d-2616-4020-9054-bdf2c47fde80">
      <Value>270</Value>
      <Value>4</Value>
      <Value>471</Value>
      <Value>218</Value>
      <Value>352</Value>
    </TaxCatchAll>
    <aa25a1a23adf4c92a153145de6afe324 xmlns="ef1c6b3d-2616-4020-9054-bdf2c47fde80">
      <Terms xmlns="http://schemas.microsoft.com/office/infopath/2007/PartnerControls">
        <TermInfo xmlns="http://schemas.microsoft.com/office/infopath/2007/PartnerControls">
          <TermName xmlns="http://schemas.microsoft.com/office/infopath/2007/PartnerControls">UNCLASSIFIED</TermName>
          <TermId xmlns="http://schemas.microsoft.com/office/infopath/2007/PartnerControls">6106d03b-a1a0-4e30-9d91-d5e9fb4314f9</TermId>
        </TermInfo>
      </Terms>
    </aa25a1a23adf4c92a153145de6afe324>
    <_dlc_DocId xmlns="ef1c6b3d-2616-4020-9054-bdf2c47fde80">A3PSR54DD4M5-1099534962-898</_dlc_DocId>
    <_dlc_DocIdUrl xmlns="ef1c6b3d-2616-4020-9054-bdf2c47fde80">
      <Url>https://dochub/div/sectoralgrowthpolicy/businessfunctions/chemicalspolicymanagement/_layouts/15/DocIdRedir.aspx?ID=A3PSR54DD4M5-1099534962-898</Url>
      <Description>A3PSR54DD4M5-1099534962-898</Description>
    </_dlc_DocIdUrl>
    <DocHub_MeetingDate xmlns="898be809-5e21-4b54-881d-d8a3488368c8" xsi:nil="true"/>
    <gabcb1eff41b4b4092332a967995e2a8 xmlns="898be809-5e21-4b54-881d-d8a3488368c8">
      <Terms xmlns="http://schemas.microsoft.com/office/infopath/2007/PartnerControls">
        <TermInfo xmlns="http://schemas.microsoft.com/office/infopath/2007/PartnerControls">
          <TermName xmlns="http://schemas.microsoft.com/office/infopath/2007/PartnerControls">Industry engagement</TermName>
          <TermId xmlns="http://schemas.microsoft.com/office/infopath/2007/PartnerControls">e162e7c5-bf32-46d2-82b5-f264b289273a</TermId>
        </TermInfo>
      </Terms>
    </gabcb1eff41b4b4092332a967995e2a8>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199D9608FED8D498BCA2801844341AD" ma:contentTypeVersion="16" ma:contentTypeDescription="Create a new document." ma:contentTypeScope="" ma:versionID="693bb6ad6d6ae34433ea7e85c1f99f8d">
  <xsd:schema xmlns:xsd="http://www.w3.org/2001/XMLSchema" xmlns:xs="http://www.w3.org/2001/XMLSchema" xmlns:p="http://schemas.microsoft.com/office/2006/metadata/properties" xmlns:ns1="http://schemas.microsoft.com/sharepoint/v3" xmlns:ns2="ef1c6b3d-2616-4020-9054-bdf2c47fde80" xmlns:ns3="898be809-5e21-4b54-881d-d8a3488368c8" targetNamespace="http://schemas.microsoft.com/office/2006/metadata/properties" ma:root="true" ma:fieldsID="d52c7734ae02ff661815f0037df4c5eb" ns1:_="" ns2:_="" ns3:_="">
    <xsd:import namespace="http://schemas.microsoft.com/sharepoint/v3"/>
    <xsd:import namespace="ef1c6b3d-2616-4020-9054-bdf2c47fde80"/>
    <xsd:import namespace="898be809-5e21-4b54-881d-d8a3488368c8"/>
    <xsd:element name="properties">
      <xsd:complexType>
        <xsd:sequence>
          <xsd:element name="documentManagement">
            <xsd:complexType>
              <xsd:all>
                <xsd:element ref="ns2:_dlc_DocId" minOccurs="0"/>
                <xsd:element ref="ns2:_dlc_DocIdUrl" minOccurs="0"/>
                <xsd:element ref="ns2:_dlc_DocIdPersistId" minOccurs="0"/>
                <xsd:element ref="ns2:aa25a1a23adf4c92a153145de6afe324" minOccurs="0"/>
                <xsd:element ref="ns2:TaxCatchAll" minOccurs="0"/>
                <xsd:element ref="ns2:pe2555c81638466f9eb614edb9ecde52" minOccurs="0"/>
                <xsd:element ref="ns2:g7bcb40ba23249a78edca7d43a67c1c9" minOccurs="0"/>
                <xsd:element ref="ns2:adb9bed2e36e4a93af574aeb444da63e" minOccurs="0"/>
                <xsd:element ref="ns2:n99e4c9942c6404eb103464a00e6097b" minOccurs="0"/>
                <xsd:element ref="ns1:Comments" minOccurs="0"/>
                <xsd:element ref="ns3:DocHub_MeetingDate" minOccurs="0"/>
                <xsd:element ref="ns3:gabcb1eff41b4b4092332a967995e2a8"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ments" ma:index="22" nillable="true" ma:displayName="Comments" ma:internalNam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f1c6b3d-2616-4020-9054-bdf2c47fde80"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aa25a1a23adf4c92a153145de6afe324" ma:index="12" ma:taxonomy="true" ma:internalName="aa25a1a23adf4c92a153145de6afe324" ma:taxonomyFieldName="DocHub_SecurityClassification" ma:displayName="Security Classification" ma:fieldId="{aa25a1a2-3adf-4c92-a153-145de6afe324}" ma:sspId="fb0313f7-9433-48c0-866e-9e0bbee59a50" ma:termSetId="f68a6a0b-bd85-4d9d-9c73-c45af096016b" ma:anchorId="00000000-0000-0000-0000-000000000000" ma:open="false" ma:isKeyword="false">
      <xsd:complexType>
        <xsd:sequence>
          <xsd:element ref="pc:Terms" minOccurs="0" maxOccurs="1"/>
        </xsd:sequence>
      </xsd:complexType>
    </xsd:element>
    <xsd:element name="TaxCatchAll" ma:index="13" nillable="true" ma:displayName="Taxonomy Catch All Column" ma:hidden="true" ma:list="{dad33dd0-8c30-4cf3-ae64-570ad1bc4d6f}" ma:internalName="TaxCatchAll" ma:showField="CatchAllData" ma:web="898be809-5e21-4b54-881d-d8a3488368c8">
      <xsd:complexType>
        <xsd:complexContent>
          <xsd:extension base="dms:MultiChoiceLookup">
            <xsd:sequence>
              <xsd:element name="Value" type="dms:Lookup" maxOccurs="unbounded" minOccurs="0" nillable="true"/>
            </xsd:sequence>
          </xsd:extension>
        </xsd:complexContent>
      </xsd:complexType>
    </xsd:element>
    <xsd:element name="pe2555c81638466f9eb614edb9ecde52" ma:index="15" ma:taxonomy="true" ma:internalName="pe2555c81638466f9eb614edb9ecde52" ma:taxonomyFieldName="DocHub_DocumentType" ma:displayName="Document Type" ma:indexed="true" ma:fieldId="{9e2555c8-1638-466f-9eb6-14edb9ecde52}" ma:sspId="fb0313f7-9433-48c0-866e-9e0bbee59a50" ma:termSetId="0e4c18c5-28eb-4f9e-8056-b3cddd4b5d9b" ma:anchorId="00000000-0000-0000-0000-000000000000" ma:open="false" ma:isKeyword="false">
      <xsd:complexType>
        <xsd:sequence>
          <xsd:element ref="pc:Terms" minOccurs="0" maxOccurs="1"/>
        </xsd:sequence>
      </xsd:complexType>
    </xsd:element>
    <xsd:element name="g7bcb40ba23249a78edca7d43a67c1c9" ma:index="17" nillable="true" ma:taxonomy="true" ma:internalName="g7bcb40ba23249a78edca7d43a67c1c9" ma:taxonomyFieldName="DocHub_WorkActivity" ma:displayName="Work Activity" ma:indexed="true" ma:fieldId="{07bcb40b-a232-49a7-8edc-a7d43a67c1c9}" ma:sspId="fb0313f7-9433-48c0-866e-9e0bbee59a50" ma:termSetId="6713ebbd-194a-499f-ab84-a4d70e145fb7" ma:anchorId="00000000-0000-0000-0000-000000000000" ma:open="false" ma:isKeyword="false">
      <xsd:complexType>
        <xsd:sequence>
          <xsd:element ref="pc:Terms" minOccurs="0" maxOccurs="1"/>
        </xsd:sequence>
      </xsd:complexType>
    </xsd:element>
    <xsd:element name="adb9bed2e36e4a93af574aeb444da63e" ma:index="19" nillable="true" ma:taxonomy="true" ma:internalName="adb9bed2e36e4a93af574aeb444da63e" ma:taxonomyFieldName="DocHub_Keywords" ma:displayName="Division Keywords" ma:fieldId="{adb9bed2-e36e-4a93-af57-4aeb444da63e}" ma:taxonomyMulti="true" ma:sspId="fb0313f7-9433-48c0-866e-9e0bbee59a50" ma:termSetId="a86c3a53-8547-45b0-a109-083f704d1385" ma:anchorId="00000000-0000-0000-0000-000000000000" ma:open="true" ma:isKeyword="false">
      <xsd:complexType>
        <xsd:sequence>
          <xsd:element ref="pc:Terms" minOccurs="0" maxOccurs="1"/>
        </xsd:sequence>
      </xsd:complexType>
    </xsd:element>
    <xsd:element name="n99e4c9942c6404eb103464a00e6097b" ma:index="21" nillable="true" ma:taxonomy="true" ma:internalName="n99e4c9942c6404eb103464a00e6097b" ma:taxonomyFieldName="DocHub_Year" ma:displayName="Year" ma:indexed="true" ma:fieldId="{799e4c99-42c6-404e-b103-464a00e6097b}" ma:sspId="fb0313f7-9433-48c0-866e-9e0bbee59a50" ma:termSetId="07e1743d-d980-4fe7-a67d-b87ecf7f18f6"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98be809-5e21-4b54-881d-d8a3488368c8" elementFormDefault="qualified">
    <xsd:import namespace="http://schemas.microsoft.com/office/2006/documentManagement/types"/>
    <xsd:import namespace="http://schemas.microsoft.com/office/infopath/2007/PartnerControls"/>
    <xsd:element name="DocHub_MeetingDate" ma:index="23" nillable="true" ma:displayName="Meeting Date" ma:description="Date of the meeting (DD/MM/YYYY)" ma:format="DateOnly" ma:internalName="DocHub_MeetingDate">
      <xsd:simpleType>
        <xsd:restriction base="dms:DateTime"/>
      </xsd:simpleType>
    </xsd:element>
    <xsd:element name="gabcb1eff41b4b4092332a967995e2a8" ma:index="25" nillable="true" ma:taxonomy="true" ma:internalName="gabcb1eff41b4b4092332a967995e2a8" ma:taxonomyFieldName="DocHub_WorkTopic" ma:displayName="Work Topic" ma:default="" ma:fieldId="{0abcb1ef-f41b-4b40-9233-2a967995e2a8}" ma:sspId="fb0313f7-9433-48c0-866e-9e0bbee59a50" ma:termSetId="58a2bccc-25c0-4473-9d2d-96641c2d7d3f" ma:anchorId="00000000-0000-0000-0000-000000000000" ma:open="false" ma:isKeyword="false">
      <xsd:complexType>
        <xsd:sequence>
          <xsd:element ref="pc:Terms" minOccurs="0" maxOccurs="1"/>
        </xsd:sequence>
      </xsd:complexType>
    </xsd:element>
    <xsd:element name="SharedWithUsers" ma:index="2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0D61F-1FEC-4C43-A669-8443150705FB}">
  <ds:schemaRefs>
    <ds:schemaRef ds:uri="http://schemas.microsoft.com/office/2006/metadata/properties"/>
    <ds:schemaRef ds:uri="http://schemas.microsoft.com/office/infopath/2007/PartnerControls"/>
    <ds:schemaRef ds:uri="http://schemas.microsoft.com/sharepoint/v3"/>
    <ds:schemaRef ds:uri="ef1c6b3d-2616-4020-9054-bdf2c47fde80"/>
    <ds:schemaRef ds:uri="898be809-5e21-4b54-881d-d8a3488368c8"/>
  </ds:schemaRefs>
</ds:datastoreItem>
</file>

<file path=customXml/itemProps2.xml><?xml version="1.0" encoding="utf-8"?>
<ds:datastoreItem xmlns:ds="http://schemas.openxmlformats.org/officeDocument/2006/customXml" ds:itemID="{27A86C40-3A9B-431E-A873-B7B8D40A073F}">
  <ds:schemaRefs>
    <ds:schemaRef ds:uri="http://schemas.microsoft.com/sharepoint/v3/contenttype/forms"/>
  </ds:schemaRefs>
</ds:datastoreItem>
</file>

<file path=customXml/itemProps3.xml><?xml version="1.0" encoding="utf-8"?>
<ds:datastoreItem xmlns:ds="http://schemas.openxmlformats.org/officeDocument/2006/customXml" ds:itemID="{B9D2A240-C930-4E51-AFDA-CA21E7E12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f1c6b3d-2616-4020-9054-bdf2c47fde80"/>
    <ds:schemaRef ds:uri="898be809-5e21-4b54-881d-d8a3488368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61C2AD-3196-4A1B-B50D-7C271ECF4901}">
  <ds:schemaRefs>
    <ds:schemaRef ds:uri="http://schemas.microsoft.com/sharepoint/events"/>
  </ds:schemaRefs>
</ds:datastoreItem>
</file>

<file path=customXml/itemProps5.xml><?xml version="1.0" encoding="utf-8"?>
<ds:datastoreItem xmlns:ds="http://schemas.openxmlformats.org/officeDocument/2006/customXml" ds:itemID="{DC1B8C2D-7F76-4FED-965D-7C393FB57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5430</TotalTime>
  <Pages>18</Pages>
  <Words>4755</Words>
  <Characters>27107</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Department of Industry, Innovation and Science</Company>
  <LinksUpToDate>false</LinksUpToDate>
  <CharactersWithSpaces>31799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Collins, Thomas</dc:creator>
  <cp:keywords/>
  <dc:description/>
  <cp:lastModifiedBy>Collins, Thomas</cp:lastModifiedBy>
  <cp:revision>732</cp:revision>
  <cp:lastPrinted>2019-02-06T00:42:00Z</cp:lastPrinted>
  <dcterms:created xsi:type="dcterms:W3CDTF">2018-12-10T02:14:00Z</dcterms:created>
  <dcterms:modified xsi:type="dcterms:W3CDTF">2019-04-02T01:22:00Z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0x010100D199D9608FED8D498BCA2801844341AD</vt:lpwstr>
  </property>
  <property fmtid="{D5CDD505-2E9C-101B-9397-08002B2CF9AE}" pid="3" name="DocHub_Year">
    <vt:lpwstr/>
  </property>
  <property fmtid="{D5CDD505-2E9C-101B-9397-08002B2CF9AE}" pid="4" name="DocHub_DocumentType">
    <vt:lpwstr>218;#Paper|4fd73e9f-ceb6-4d3f-8d1d-e6ca9b922532</vt:lpwstr>
  </property>
  <property fmtid="{D5CDD505-2E9C-101B-9397-08002B2CF9AE}" pid="5" name="DocHub_SecurityClassification">
    <vt:lpwstr>4;#UNCLASSIFIED|6106d03b-a1a0-4e30-9d91-d5e9fb4314f9</vt:lpwstr>
  </property>
  <property fmtid="{D5CDD505-2E9C-101B-9397-08002B2CF9AE}" pid="6" name="DocHub_Keywords">
    <vt:lpwstr>270;#legislative review|a9a2bc7a-7334-4fb7-b490-5f5bcf70e530</vt:lpwstr>
  </property>
  <property fmtid="{D5CDD505-2E9C-101B-9397-08002B2CF9AE}" pid="7" name="DocHub_WorkActivity">
    <vt:lpwstr>471;#Engagement|70267ed8-6bd2-4b96-bc60-cce33581fb54</vt:lpwstr>
  </property>
  <property fmtid="{D5CDD505-2E9C-101B-9397-08002B2CF9AE}" pid="8" name="DocHub_WorkTopic">
    <vt:lpwstr>352;#Industry engagement|e162e7c5-bf32-46d2-82b5-f264b289273a</vt:lpwstr>
  </property>
  <property fmtid="{D5CDD505-2E9C-101B-9397-08002B2CF9AE}" pid="9" name="DocHub_BriefingCorrespondenceType">
    <vt:lpwstr/>
  </property>
  <property fmtid="{D5CDD505-2E9C-101B-9397-08002B2CF9AE}" pid="10" name="_dlc_DocIdItemGuid">
    <vt:lpwstr>825b5ece-fde8-4282-8c8e-a468b009b249</vt:lpwstr>
  </property>
</Properties>
</file>