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24FD7" w14:textId="77777777" w:rsidR="006918B2" w:rsidRDefault="006918B2" w:rsidP="006918B2">
      <w:pPr>
        <w:spacing w:before="480" w:after="0"/>
        <w:rPr>
          <w:szCs w:val="32"/>
          <w:lang w:val="en-US"/>
        </w:rPr>
      </w:pPr>
      <w:r>
        <w:rPr>
          <w:noProof/>
          <w:lang w:eastAsia="en-AU"/>
        </w:rPr>
        <w:drawing>
          <wp:inline distT="0" distB="0" distL="0" distR="0" wp14:anchorId="00CC5B1F" wp14:editId="573124F5">
            <wp:extent cx="2238375" cy="709930"/>
            <wp:effectExtent l="0" t="0" r="9525" b="0"/>
            <wp:docPr id="5" name="Picture 5" descr="Crest of the Australian Government Department of Industry, Innovation and Science." title="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Collins\AppData\Local\Microsoft\Windows\INetCache\Content.Word\DII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8375" cy="709930"/>
                    </a:xfrm>
                    <a:prstGeom prst="rect">
                      <a:avLst/>
                    </a:prstGeom>
                    <a:noFill/>
                    <a:ln>
                      <a:noFill/>
                    </a:ln>
                  </pic:spPr>
                </pic:pic>
              </a:graphicData>
            </a:graphic>
          </wp:inline>
        </w:drawing>
      </w:r>
    </w:p>
    <w:p w14:paraId="041DA840" w14:textId="77777777" w:rsidR="006918B2" w:rsidRDefault="006918B2" w:rsidP="006918B2">
      <w:pPr>
        <w:spacing w:before="3000" w:after="0"/>
        <w:rPr>
          <w:sz w:val="32"/>
          <w:szCs w:val="32"/>
          <w:lang w:val="en-US"/>
        </w:rPr>
      </w:pPr>
      <w:r w:rsidRPr="00E16017">
        <w:rPr>
          <w:szCs w:val="32"/>
          <w:lang w:val="en-US"/>
        </w:rPr>
        <w:t>DISCUSSION PAPER</w:t>
      </w:r>
      <w:r w:rsidRPr="00E16017">
        <w:rPr>
          <w:sz w:val="32"/>
          <w:szCs w:val="32"/>
          <w:lang w:val="en-US"/>
        </w:rPr>
        <w:t>:</w:t>
      </w:r>
    </w:p>
    <w:p w14:paraId="688D27E4" w14:textId="77777777" w:rsidR="004C373A" w:rsidRPr="00C75531" w:rsidRDefault="009D0B41" w:rsidP="00C75531">
      <w:pPr>
        <w:pStyle w:val="Title"/>
        <w:spacing w:before="120" w:after="120"/>
        <w:rPr>
          <w:color w:val="auto"/>
          <w:lang w:val="en-US"/>
        </w:rPr>
      </w:pPr>
      <w:r w:rsidRPr="00C75531">
        <w:rPr>
          <w:b w:val="0"/>
          <w:color w:val="auto"/>
          <w:lang w:val="en-US"/>
        </w:rPr>
        <w:t>MEASURING INSTRUMENTS</w:t>
      </w:r>
    </w:p>
    <w:p w14:paraId="688D27E5" w14:textId="77777777" w:rsidR="004C373A" w:rsidRPr="00C75531" w:rsidRDefault="004C373A" w:rsidP="00C75531">
      <w:pPr>
        <w:spacing w:after="0"/>
        <w:rPr>
          <w:sz w:val="28"/>
          <w:szCs w:val="28"/>
          <w:lang w:val="en-US"/>
        </w:rPr>
      </w:pPr>
      <w:r w:rsidRPr="00C75531">
        <w:rPr>
          <w:sz w:val="28"/>
          <w:szCs w:val="28"/>
          <w:lang w:val="en-US"/>
        </w:rPr>
        <w:t>Measurement Law Review</w:t>
      </w:r>
    </w:p>
    <w:p w14:paraId="688D27E8" w14:textId="18341248" w:rsidR="004C373A" w:rsidRPr="00C75531" w:rsidRDefault="004C373A" w:rsidP="00C75531">
      <w:pPr>
        <w:spacing w:before="240"/>
        <w:rPr>
          <w:rStyle w:val="Hyperlink"/>
          <w:color w:val="auto"/>
          <w:sz w:val="28"/>
          <w:szCs w:val="28"/>
          <w:u w:val="none"/>
          <w:lang w:val="en-US"/>
        </w:rPr>
        <w:sectPr w:rsidR="004C373A" w:rsidRPr="00C75531" w:rsidSect="004F7DF1">
          <w:footerReference w:type="even" r:id="rId13"/>
          <w:pgSz w:w="11906" w:h="16838"/>
          <w:pgMar w:top="1440" w:right="1440" w:bottom="1440" w:left="1440" w:header="708" w:footer="708" w:gutter="0"/>
          <w:cols w:space="708"/>
          <w:docGrid w:linePitch="360"/>
        </w:sectPr>
      </w:pPr>
      <w:r w:rsidRPr="00C75531">
        <w:rPr>
          <w:sz w:val="28"/>
          <w:szCs w:val="28"/>
          <w:lang w:val="en-US"/>
        </w:rPr>
        <w:t>201</w:t>
      </w:r>
      <w:r w:rsidR="00C75531">
        <w:rPr>
          <w:sz w:val="28"/>
          <w:szCs w:val="28"/>
          <w:lang w:val="en-US"/>
        </w:rPr>
        <w:t>9</w:t>
      </w:r>
    </w:p>
    <w:p w14:paraId="3B4EA292" w14:textId="77777777" w:rsidR="00C75531" w:rsidRPr="002C0412" w:rsidRDefault="00C75531" w:rsidP="00C75531">
      <w:pPr>
        <w:pStyle w:val="Heading1"/>
      </w:pPr>
      <w:bookmarkStart w:id="0" w:name="_Toc3461880"/>
      <w:bookmarkStart w:id="1" w:name="_Toc513454836"/>
      <w:bookmarkStart w:id="2" w:name="_Toc519856390"/>
      <w:bookmarkStart w:id="3" w:name="_Toc519857236"/>
      <w:r w:rsidRPr="002C0412">
        <w:lastRenderedPageBreak/>
        <w:t>Have your say</w:t>
      </w:r>
      <w:bookmarkEnd w:id="0"/>
    </w:p>
    <w:p w14:paraId="29F363C3" w14:textId="16EAC9A4" w:rsidR="00C75531" w:rsidRDefault="0091275E" w:rsidP="0091275E">
      <w:pPr>
        <w:spacing w:after="360" w:line="276" w:lineRule="auto"/>
        <w:rPr>
          <w:rFonts w:eastAsia="Arial" w:cstheme="minorHAnsi"/>
          <w:lang w:val="en-GB"/>
        </w:rPr>
      </w:pPr>
      <w:r>
        <w:rPr>
          <w:rFonts w:eastAsia="Arial" w:cstheme="minorHAnsi"/>
          <w:lang w:val="en-GB"/>
        </w:rPr>
        <w:br/>
      </w:r>
      <w:r w:rsidR="00C75531" w:rsidRPr="002C0412">
        <w:rPr>
          <w:rFonts w:eastAsia="Arial" w:cstheme="minorHAnsi"/>
          <w:lang w:val="en-GB"/>
        </w:rPr>
        <w:t>The Australian Government is seeking responses to the issues and questions raised in this paper. You can submit your comments via the Department of Industry, Innovation and Scie</w:t>
      </w:r>
      <w:r>
        <w:rPr>
          <w:rFonts w:eastAsia="Arial" w:cstheme="minorHAnsi"/>
          <w:lang w:val="en-GB"/>
        </w:rPr>
        <w:t xml:space="preserve">nce’s Consultation Hub webpage. </w:t>
      </w:r>
      <w:hyperlink r:id="rId14" w:history="1">
        <w:r w:rsidRPr="0029560F">
          <w:rPr>
            <w:rStyle w:val="Hyperlink"/>
            <w:rFonts w:eastAsia="Arial" w:cstheme="minorHAnsi"/>
            <w:lang w:val="en-GB"/>
          </w:rPr>
          <w:t>https://consult.industry.gov.au/measurement-law-review/measurement-in-everyday-life</w:t>
        </w:r>
      </w:hyperlink>
      <w:r>
        <w:rPr>
          <w:rFonts w:eastAsia="Arial" w:cstheme="minorHAnsi"/>
          <w:u w:val="single"/>
          <w:lang w:val="en-GB"/>
        </w:rPr>
        <w:br/>
      </w:r>
      <w:r>
        <w:rPr>
          <w:rFonts w:eastAsia="Arial" w:cstheme="minorHAnsi"/>
          <w:u w:val="single"/>
          <w:lang w:val="en-GB"/>
        </w:rPr>
        <w:br/>
      </w:r>
      <w:r w:rsidR="00C75531" w:rsidRPr="002C0412">
        <w:rPr>
          <w:rFonts w:eastAsia="Arial" w:cstheme="minorHAnsi"/>
          <w:lang w:val="en-GB"/>
        </w:rPr>
        <w:t>Australia’s measurement laws can be found on the Federal Register of Legislation</w:t>
      </w:r>
      <w:r w:rsidR="00DA24F3">
        <w:rPr>
          <w:rFonts w:eastAsia="Arial" w:cstheme="minorHAnsi"/>
          <w:lang w:val="en-GB"/>
        </w:rPr>
        <w:t>.</w:t>
      </w:r>
      <w:bookmarkStart w:id="4" w:name="_GoBack"/>
      <w:bookmarkEnd w:id="4"/>
      <w:r w:rsidR="00C75531" w:rsidRPr="002C0412">
        <w:rPr>
          <w:rFonts w:eastAsia="Arial" w:cstheme="minorHAnsi"/>
          <w:lang w:val="en-GB"/>
        </w:rPr>
        <w:t xml:space="preserve"> </w:t>
      </w:r>
      <w:hyperlink r:id="rId15" w:history="1">
        <w:r w:rsidRPr="0029560F">
          <w:rPr>
            <w:rStyle w:val="Hyperlink"/>
            <w:rFonts w:eastAsia="Arial" w:cstheme="minorHAnsi"/>
            <w:lang w:val="en-GB"/>
          </w:rPr>
          <w:t>https://www.legislation.gov.au</w:t>
        </w:r>
      </w:hyperlink>
      <w:r>
        <w:rPr>
          <w:rFonts w:eastAsia="Arial" w:cstheme="minorHAnsi"/>
          <w:u w:val="dottedHeavy"/>
          <w:lang w:val="en-GB"/>
        </w:rPr>
        <w:br/>
      </w:r>
      <w:r>
        <w:rPr>
          <w:rFonts w:eastAsia="Arial" w:cstheme="minorHAnsi"/>
          <w:u w:val="dottedHeavy"/>
          <w:lang w:val="en-GB"/>
        </w:rPr>
        <w:br/>
      </w:r>
      <w:r w:rsidR="00C75531" w:rsidRPr="002C0412">
        <w:rPr>
          <w:rFonts w:eastAsia="Arial" w:cstheme="minorHAnsi"/>
          <w:lang w:val="en-GB"/>
        </w:rPr>
        <w:t>Submissions will be considered by the government to finalise options for reform.</w:t>
      </w:r>
      <w:r>
        <w:rPr>
          <w:rFonts w:eastAsia="Arial" w:cstheme="minorHAnsi"/>
          <w:lang w:val="en-GB"/>
        </w:rPr>
        <w:br/>
      </w:r>
      <w:r>
        <w:rPr>
          <w:rFonts w:eastAsia="Arial" w:cstheme="minorHAnsi"/>
          <w:lang w:val="en-GB"/>
        </w:rPr>
        <w:br/>
      </w:r>
      <w:r w:rsidR="00C75531" w:rsidRPr="002C0412">
        <w:rPr>
          <w:rFonts w:eastAsia="Arial" w:cstheme="minorHAnsi"/>
        </w:rPr>
        <w:t>If you have difficulties or questions, pl</w:t>
      </w:r>
      <w:r>
        <w:rPr>
          <w:rFonts w:eastAsia="Arial" w:cstheme="minorHAnsi"/>
        </w:rPr>
        <w:t xml:space="preserve">ease call 1300 686 664 or email </w:t>
      </w:r>
      <w:hyperlink r:id="rId16" w:history="1">
        <w:r w:rsidRPr="0029560F">
          <w:rPr>
            <w:rStyle w:val="Hyperlink"/>
            <w:rFonts w:eastAsia="Arial" w:cstheme="minorHAnsi"/>
          </w:rPr>
          <w:t>measurementlawreview@industry.gov.au</w:t>
        </w:r>
      </w:hyperlink>
      <w:r>
        <w:rPr>
          <w:rFonts w:eastAsia="Arial" w:cstheme="minorHAnsi"/>
          <w:u w:val="single"/>
        </w:rPr>
        <w:br/>
      </w:r>
      <w:r>
        <w:rPr>
          <w:rFonts w:eastAsia="Arial" w:cstheme="minorHAnsi"/>
          <w:u w:val="single"/>
        </w:rPr>
        <w:br/>
      </w:r>
      <w:r w:rsidR="00C75531" w:rsidRPr="002C0412">
        <w:rPr>
          <w:rFonts w:eastAsia="Arial" w:cstheme="minorHAnsi"/>
        </w:rPr>
        <w:t>The closing date for submission is</w:t>
      </w:r>
      <w:r w:rsidR="00655BF4">
        <w:rPr>
          <w:rFonts w:eastAsia="Arial" w:cstheme="minorHAnsi"/>
        </w:rPr>
        <w:t xml:space="preserve"> </w:t>
      </w:r>
      <w:r>
        <w:rPr>
          <w:rFonts w:eastAsia="Arial" w:cstheme="minorHAnsi"/>
        </w:rPr>
        <w:t>3</w:t>
      </w:r>
      <w:r w:rsidR="00655BF4">
        <w:rPr>
          <w:rFonts w:eastAsia="Arial" w:cstheme="minorHAnsi"/>
        </w:rPr>
        <w:t>1 May 2019</w:t>
      </w:r>
      <w:r w:rsidR="00C75531" w:rsidRPr="002C0412">
        <w:rPr>
          <w:rFonts w:eastAsia="Arial" w:cstheme="minorHAnsi"/>
        </w:rPr>
        <w:t>.</w:t>
      </w:r>
      <w:r>
        <w:rPr>
          <w:rFonts w:eastAsia="Arial" w:cstheme="minorHAnsi"/>
        </w:rPr>
        <w:br/>
      </w:r>
      <w:r>
        <w:rPr>
          <w:rFonts w:eastAsia="Arial" w:cstheme="minorHAnsi"/>
        </w:rPr>
        <w:br/>
      </w:r>
      <w:r w:rsidR="00C75531" w:rsidRPr="002C0412">
        <w:rPr>
          <w:rFonts w:eastAsia="Arial" w:cstheme="minorHAnsi"/>
          <w:lang w:val="en-GB"/>
        </w:rPr>
        <w:t>Submissions received may be made public on the consultation website, unless otherwise specified. Submissions should indicate whether any part of the content should not be disclosed to the public.</w:t>
      </w:r>
    </w:p>
    <w:p w14:paraId="315197AA" w14:textId="77777777" w:rsidR="00C75531" w:rsidRDefault="00C75531">
      <w:pPr>
        <w:rPr>
          <w:rFonts w:eastAsia="Arial" w:cstheme="minorHAnsi"/>
          <w:lang w:val="en-GB"/>
        </w:rPr>
      </w:pPr>
      <w:r>
        <w:rPr>
          <w:rFonts w:eastAsia="Arial" w:cstheme="minorHAnsi"/>
          <w:lang w:val="en-GB"/>
        </w:rPr>
        <w:br w:type="page"/>
      </w:r>
    </w:p>
    <w:bookmarkEnd w:id="3" w:displacedByCustomXml="next"/>
    <w:bookmarkEnd w:id="2" w:displacedByCustomXml="next"/>
    <w:bookmarkEnd w:id="1" w:displacedByCustomXml="next"/>
    <w:sdt>
      <w:sdtPr>
        <w:rPr>
          <w:rFonts w:ascii="Arial" w:eastAsiaTheme="minorHAnsi" w:hAnsi="Arial" w:cs="Arial"/>
          <w:color w:val="auto"/>
          <w:sz w:val="22"/>
          <w:szCs w:val="22"/>
          <w:lang w:val="en-AU"/>
        </w:rPr>
        <w:id w:val="-1329659436"/>
        <w:docPartObj>
          <w:docPartGallery w:val="Table of Contents"/>
          <w:docPartUnique/>
        </w:docPartObj>
      </w:sdtPr>
      <w:sdtEndPr>
        <w:rPr>
          <w:rFonts w:asciiTheme="minorHAnsi" w:hAnsiTheme="minorHAnsi" w:cstheme="minorBidi"/>
          <w:b/>
          <w:bCs/>
          <w:noProof/>
        </w:rPr>
      </w:sdtEndPr>
      <w:sdtContent>
        <w:p w14:paraId="688D27F2" w14:textId="77777777" w:rsidR="00A46C02" w:rsidRPr="00AB31E9" w:rsidRDefault="004D646C" w:rsidP="00AB31E9">
          <w:pPr>
            <w:pStyle w:val="TOCHeading"/>
            <w:spacing w:before="0" w:after="240"/>
            <w:rPr>
              <w:rFonts w:ascii="Arial" w:hAnsi="Arial" w:cs="Arial"/>
              <w:b/>
              <w:color w:val="1F4E79" w:themeColor="accent1" w:themeShade="80"/>
              <w:sz w:val="48"/>
              <w:szCs w:val="28"/>
              <w:lang w:eastAsia="ja-JP"/>
            </w:rPr>
          </w:pPr>
          <w:r w:rsidRPr="00AB31E9">
            <w:rPr>
              <w:rFonts w:ascii="Arial" w:hAnsi="Arial" w:cs="Arial"/>
              <w:b/>
              <w:bCs/>
              <w:color w:val="1F4E79" w:themeColor="accent1" w:themeShade="80"/>
              <w:sz w:val="48"/>
              <w:szCs w:val="28"/>
              <w:lang w:eastAsia="ja-JP"/>
            </w:rPr>
            <w:t>Table of Contents</w:t>
          </w:r>
        </w:p>
        <w:p w14:paraId="096D71BC" w14:textId="77777777" w:rsidR="000A5365" w:rsidRDefault="0098632A">
          <w:pPr>
            <w:pStyle w:val="TOC1"/>
            <w:rPr>
              <w:rFonts w:eastAsiaTheme="minorEastAsia"/>
              <w:noProof/>
              <w:lang w:eastAsia="en-AU"/>
            </w:rPr>
          </w:pPr>
          <w:r>
            <w:rPr>
              <w:rFonts w:ascii="Arial" w:hAnsi="Arial" w:cs="Arial"/>
              <w:b/>
              <w:sz w:val="24"/>
            </w:rPr>
            <w:fldChar w:fldCharType="begin"/>
          </w:r>
          <w:r>
            <w:rPr>
              <w:rFonts w:ascii="Arial" w:hAnsi="Arial" w:cs="Arial"/>
              <w:b/>
              <w:sz w:val="24"/>
            </w:rPr>
            <w:instrText xml:space="preserve"> TOC \o "1-2" \h \z \u </w:instrText>
          </w:r>
          <w:r>
            <w:rPr>
              <w:rFonts w:ascii="Arial" w:hAnsi="Arial" w:cs="Arial"/>
              <w:b/>
              <w:sz w:val="24"/>
            </w:rPr>
            <w:fldChar w:fldCharType="separate"/>
          </w:r>
          <w:hyperlink w:anchor="_Toc3459027" w:history="1">
            <w:r w:rsidR="000A5365" w:rsidRPr="00BF2D3D">
              <w:rPr>
                <w:rStyle w:val="Hyperlink"/>
                <w:noProof/>
                <w:lang w:val="en-GB"/>
              </w:rPr>
              <w:t>Have your say</w:t>
            </w:r>
            <w:r w:rsidR="000A5365">
              <w:rPr>
                <w:noProof/>
                <w:webHidden/>
              </w:rPr>
              <w:tab/>
            </w:r>
            <w:r w:rsidR="000A5365">
              <w:rPr>
                <w:noProof/>
                <w:webHidden/>
              </w:rPr>
              <w:fldChar w:fldCharType="begin"/>
            </w:r>
            <w:r w:rsidR="000A5365">
              <w:rPr>
                <w:noProof/>
                <w:webHidden/>
              </w:rPr>
              <w:instrText xml:space="preserve"> PAGEREF _Toc3459027 \h </w:instrText>
            </w:r>
            <w:r w:rsidR="000A5365">
              <w:rPr>
                <w:noProof/>
                <w:webHidden/>
              </w:rPr>
            </w:r>
            <w:r w:rsidR="000A5365">
              <w:rPr>
                <w:noProof/>
                <w:webHidden/>
              </w:rPr>
              <w:fldChar w:fldCharType="separate"/>
            </w:r>
            <w:r w:rsidR="000A5365">
              <w:rPr>
                <w:noProof/>
                <w:webHidden/>
              </w:rPr>
              <w:t>2</w:t>
            </w:r>
            <w:r w:rsidR="000A5365">
              <w:rPr>
                <w:noProof/>
                <w:webHidden/>
              </w:rPr>
              <w:fldChar w:fldCharType="end"/>
            </w:r>
          </w:hyperlink>
        </w:p>
        <w:p w14:paraId="46B0E8A7" w14:textId="77777777" w:rsidR="000A5365" w:rsidRDefault="00DA24F3">
          <w:pPr>
            <w:pStyle w:val="TOC1"/>
            <w:tabs>
              <w:tab w:val="left" w:pos="440"/>
            </w:tabs>
            <w:rPr>
              <w:rFonts w:eastAsiaTheme="minorEastAsia"/>
              <w:noProof/>
              <w:lang w:eastAsia="en-AU"/>
            </w:rPr>
          </w:pPr>
          <w:hyperlink w:anchor="_Toc3459028" w:history="1">
            <w:r w:rsidR="000A5365" w:rsidRPr="00BF2D3D">
              <w:rPr>
                <w:rStyle w:val="Hyperlink"/>
                <w:noProof/>
              </w:rPr>
              <w:t>1.</w:t>
            </w:r>
            <w:r w:rsidR="000A5365">
              <w:rPr>
                <w:rFonts w:eastAsiaTheme="minorEastAsia"/>
                <w:noProof/>
                <w:lang w:eastAsia="en-AU"/>
              </w:rPr>
              <w:tab/>
            </w:r>
            <w:r w:rsidR="000A5365" w:rsidRPr="00BF2D3D">
              <w:rPr>
                <w:rStyle w:val="Hyperlink"/>
                <w:noProof/>
              </w:rPr>
              <w:t>Overview</w:t>
            </w:r>
            <w:r w:rsidR="000A5365">
              <w:rPr>
                <w:noProof/>
                <w:webHidden/>
              </w:rPr>
              <w:tab/>
            </w:r>
            <w:r w:rsidR="000A5365">
              <w:rPr>
                <w:noProof/>
                <w:webHidden/>
              </w:rPr>
              <w:fldChar w:fldCharType="begin"/>
            </w:r>
            <w:r w:rsidR="000A5365">
              <w:rPr>
                <w:noProof/>
                <w:webHidden/>
              </w:rPr>
              <w:instrText xml:space="preserve"> PAGEREF _Toc3459028 \h </w:instrText>
            </w:r>
            <w:r w:rsidR="000A5365">
              <w:rPr>
                <w:noProof/>
                <w:webHidden/>
              </w:rPr>
            </w:r>
            <w:r w:rsidR="000A5365">
              <w:rPr>
                <w:noProof/>
                <w:webHidden/>
              </w:rPr>
              <w:fldChar w:fldCharType="separate"/>
            </w:r>
            <w:r w:rsidR="000A5365">
              <w:rPr>
                <w:noProof/>
                <w:webHidden/>
              </w:rPr>
              <w:t>4</w:t>
            </w:r>
            <w:r w:rsidR="000A5365">
              <w:rPr>
                <w:noProof/>
                <w:webHidden/>
              </w:rPr>
              <w:fldChar w:fldCharType="end"/>
            </w:r>
          </w:hyperlink>
        </w:p>
        <w:p w14:paraId="0BDA20B8" w14:textId="77777777" w:rsidR="000A5365" w:rsidRDefault="00DA24F3">
          <w:pPr>
            <w:pStyle w:val="TOC2"/>
            <w:tabs>
              <w:tab w:val="left" w:pos="880"/>
              <w:tab w:val="right" w:leader="dot" w:pos="9016"/>
            </w:tabs>
            <w:rPr>
              <w:rFonts w:eastAsiaTheme="minorEastAsia"/>
              <w:noProof/>
              <w:lang w:eastAsia="en-AU"/>
            </w:rPr>
          </w:pPr>
          <w:hyperlink w:anchor="_Toc3459029" w:history="1">
            <w:r w:rsidR="000A5365" w:rsidRPr="00BF2D3D">
              <w:rPr>
                <w:rStyle w:val="Hyperlink"/>
                <w:noProof/>
              </w:rPr>
              <w:t>1.1</w:t>
            </w:r>
            <w:r w:rsidR="000A5365">
              <w:rPr>
                <w:rFonts w:eastAsiaTheme="minorEastAsia"/>
                <w:noProof/>
                <w:lang w:eastAsia="en-AU"/>
              </w:rPr>
              <w:tab/>
            </w:r>
            <w:r w:rsidR="000A5365" w:rsidRPr="00BF2D3D">
              <w:rPr>
                <w:rStyle w:val="Hyperlink"/>
                <w:noProof/>
              </w:rPr>
              <w:t>The Measurement Law Review (the Review)</w:t>
            </w:r>
            <w:r w:rsidR="000A5365">
              <w:rPr>
                <w:noProof/>
                <w:webHidden/>
              </w:rPr>
              <w:tab/>
            </w:r>
            <w:r w:rsidR="000A5365">
              <w:rPr>
                <w:noProof/>
                <w:webHidden/>
              </w:rPr>
              <w:fldChar w:fldCharType="begin"/>
            </w:r>
            <w:r w:rsidR="000A5365">
              <w:rPr>
                <w:noProof/>
                <w:webHidden/>
              </w:rPr>
              <w:instrText xml:space="preserve"> PAGEREF _Toc3459029 \h </w:instrText>
            </w:r>
            <w:r w:rsidR="000A5365">
              <w:rPr>
                <w:noProof/>
                <w:webHidden/>
              </w:rPr>
            </w:r>
            <w:r w:rsidR="000A5365">
              <w:rPr>
                <w:noProof/>
                <w:webHidden/>
              </w:rPr>
              <w:fldChar w:fldCharType="separate"/>
            </w:r>
            <w:r w:rsidR="000A5365">
              <w:rPr>
                <w:noProof/>
                <w:webHidden/>
              </w:rPr>
              <w:t>4</w:t>
            </w:r>
            <w:r w:rsidR="000A5365">
              <w:rPr>
                <w:noProof/>
                <w:webHidden/>
              </w:rPr>
              <w:fldChar w:fldCharType="end"/>
            </w:r>
          </w:hyperlink>
        </w:p>
        <w:p w14:paraId="4A25E259" w14:textId="77777777" w:rsidR="000A5365" w:rsidRDefault="00DA24F3">
          <w:pPr>
            <w:pStyle w:val="TOC2"/>
            <w:tabs>
              <w:tab w:val="left" w:pos="880"/>
              <w:tab w:val="right" w:leader="dot" w:pos="9016"/>
            </w:tabs>
            <w:rPr>
              <w:rFonts w:eastAsiaTheme="minorEastAsia"/>
              <w:noProof/>
              <w:lang w:eastAsia="en-AU"/>
            </w:rPr>
          </w:pPr>
          <w:hyperlink w:anchor="_Toc3459030" w:history="1">
            <w:r w:rsidR="000A5365" w:rsidRPr="00BF2D3D">
              <w:rPr>
                <w:rStyle w:val="Hyperlink"/>
                <w:noProof/>
              </w:rPr>
              <w:t>1.2</w:t>
            </w:r>
            <w:r w:rsidR="000A5365">
              <w:rPr>
                <w:rFonts w:eastAsiaTheme="minorEastAsia"/>
                <w:noProof/>
                <w:lang w:eastAsia="en-AU"/>
              </w:rPr>
              <w:tab/>
            </w:r>
            <w:r w:rsidR="000A5365" w:rsidRPr="00BF2D3D">
              <w:rPr>
                <w:rStyle w:val="Hyperlink"/>
                <w:noProof/>
              </w:rPr>
              <w:t>This Discussion Paper</w:t>
            </w:r>
            <w:r w:rsidR="000A5365">
              <w:rPr>
                <w:noProof/>
                <w:webHidden/>
              </w:rPr>
              <w:tab/>
            </w:r>
            <w:r w:rsidR="000A5365">
              <w:rPr>
                <w:noProof/>
                <w:webHidden/>
              </w:rPr>
              <w:fldChar w:fldCharType="begin"/>
            </w:r>
            <w:r w:rsidR="000A5365">
              <w:rPr>
                <w:noProof/>
                <w:webHidden/>
              </w:rPr>
              <w:instrText xml:space="preserve"> PAGEREF _Toc3459030 \h </w:instrText>
            </w:r>
            <w:r w:rsidR="000A5365">
              <w:rPr>
                <w:noProof/>
                <w:webHidden/>
              </w:rPr>
            </w:r>
            <w:r w:rsidR="000A5365">
              <w:rPr>
                <w:noProof/>
                <w:webHidden/>
              </w:rPr>
              <w:fldChar w:fldCharType="separate"/>
            </w:r>
            <w:r w:rsidR="000A5365">
              <w:rPr>
                <w:noProof/>
                <w:webHidden/>
              </w:rPr>
              <w:t>4</w:t>
            </w:r>
            <w:r w:rsidR="000A5365">
              <w:rPr>
                <w:noProof/>
                <w:webHidden/>
              </w:rPr>
              <w:fldChar w:fldCharType="end"/>
            </w:r>
          </w:hyperlink>
        </w:p>
        <w:p w14:paraId="2A695051" w14:textId="77777777" w:rsidR="000A5365" w:rsidRDefault="00DA24F3">
          <w:pPr>
            <w:pStyle w:val="TOC1"/>
            <w:tabs>
              <w:tab w:val="left" w:pos="440"/>
            </w:tabs>
            <w:rPr>
              <w:rFonts w:eastAsiaTheme="minorEastAsia"/>
              <w:noProof/>
              <w:lang w:eastAsia="en-AU"/>
            </w:rPr>
          </w:pPr>
          <w:hyperlink w:anchor="_Toc3459031" w:history="1">
            <w:r w:rsidR="000A5365" w:rsidRPr="00BF2D3D">
              <w:rPr>
                <w:rStyle w:val="Hyperlink"/>
                <w:noProof/>
              </w:rPr>
              <w:t>2.</w:t>
            </w:r>
            <w:r w:rsidR="000A5365">
              <w:rPr>
                <w:rFonts w:eastAsiaTheme="minorEastAsia"/>
                <w:noProof/>
                <w:lang w:eastAsia="en-AU"/>
              </w:rPr>
              <w:tab/>
            </w:r>
            <w:r w:rsidR="000A5365" w:rsidRPr="00BF2D3D">
              <w:rPr>
                <w:rStyle w:val="Hyperlink"/>
                <w:noProof/>
              </w:rPr>
              <w:t>Measuring Instruments</w:t>
            </w:r>
            <w:r w:rsidR="000A5365">
              <w:rPr>
                <w:noProof/>
                <w:webHidden/>
              </w:rPr>
              <w:tab/>
            </w:r>
            <w:r w:rsidR="000A5365">
              <w:rPr>
                <w:noProof/>
                <w:webHidden/>
              </w:rPr>
              <w:fldChar w:fldCharType="begin"/>
            </w:r>
            <w:r w:rsidR="000A5365">
              <w:rPr>
                <w:noProof/>
                <w:webHidden/>
              </w:rPr>
              <w:instrText xml:space="preserve"> PAGEREF _Toc3459031 \h </w:instrText>
            </w:r>
            <w:r w:rsidR="000A5365">
              <w:rPr>
                <w:noProof/>
                <w:webHidden/>
              </w:rPr>
            </w:r>
            <w:r w:rsidR="000A5365">
              <w:rPr>
                <w:noProof/>
                <w:webHidden/>
              </w:rPr>
              <w:fldChar w:fldCharType="separate"/>
            </w:r>
            <w:r w:rsidR="000A5365">
              <w:rPr>
                <w:noProof/>
                <w:webHidden/>
              </w:rPr>
              <w:t>6</w:t>
            </w:r>
            <w:r w:rsidR="000A5365">
              <w:rPr>
                <w:noProof/>
                <w:webHidden/>
              </w:rPr>
              <w:fldChar w:fldCharType="end"/>
            </w:r>
          </w:hyperlink>
        </w:p>
        <w:p w14:paraId="253B010E" w14:textId="77777777" w:rsidR="000A5365" w:rsidRDefault="00DA24F3">
          <w:pPr>
            <w:pStyle w:val="TOC2"/>
            <w:tabs>
              <w:tab w:val="left" w:pos="880"/>
              <w:tab w:val="right" w:leader="dot" w:pos="9016"/>
            </w:tabs>
            <w:rPr>
              <w:rFonts w:eastAsiaTheme="minorEastAsia"/>
              <w:noProof/>
              <w:lang w:eastAsia="en-AU"/>
            </w:rPr>
          </w:pPr>
          <w:hyperlink w:anchor="_Toc3459032" w:history="1">
            <w:r w:rsidR="000A5365" w:rsidRPr="00BF2D3D">
              <w:rPr>
                <w:rStyle w:val="Hyperlink"/>
                <w:noProof/>
              </w:rPr>
              <w:t>2.1</w:t>
            </w:r>
            <w:r w:rsidR="000A5365">
              <w:rPr>
                <w:rFonts w:eastAsiaTheme="minorEastAsia"/>
                <w:noProof/>
                <w:lang w:eastAsia="en-AU"/>
              </w:rPr>
              <w:tab/>
            </w:r>
            <w:r w:rsidR="000A5365" w:rsidRPr="00BF2D3D">
              <w:rPr>
                <w:rStyle w:val="Hyperlink"/>
                <w:noProof/>
              </w:rPr>
              <w:t>Current approach</w:t>
            </w:r>
            <w:r w:rsidR="000A5365">
              <w:rPr>
                <w:noProof/>
                <w:webHidden/>
              </w:rPr>
              <w:tab/>
            </w:r>
            <w:r w:rsidR="000A5365">
              <w:rPr>
                <w:noProof/>
                <w:webHidden/>
              </w:rPr>
              <w:fldChar w:fldCharType="begin"/>
            </w:r>
            <w:r w:rsidR="000A5365">
              <w:rPr>
                <w:noProof/>
                <w:webHidden/>
              </w:rPr>
              <w:instrText xml:space="preserve"> PAGEREF _Toc3459032 \h </w:instrText>
            </w:r>
            <w:r w:rsidR="000A5365">
              <w:rPr>
                <w:noProof/>
                <w:webHidden/>
              </w:rPr>
            </w:r>
            <w:r w:rsidR="000A5365">
              <w:rPr>
                <w:noProof/>
                <w:webHidden/>
              </w:rPr>
              <w:fldChar w:fldCharType="separate"/>
            </w:r>
            <w:r w:rsidR="000A5365">
              <w:rPr>
                <w:noProof/>
                <w:webHidden/>
              </w:rPr>
              <w:t>6</w:t>
            </w:r>
            <w:r w:rsidR="000A5365">
              <w:rPr>
                <w:noProof/>
                <w:webHidden/>
              </w:rPr>
              <w:fldChar w:fldCharType="end"/>
            </w:r>
          </w:hyperlink>
        </w:p>
        <w:p w14:paraId="63A43074" w14:textId="77777777" w:rsidR="000A5365" w:rsidRDefault="00DA24F3">
          <w:pPr>
            <w:pStyle w:val="TOC2"/>
            <w:tabs>
              <w:tab w:val="left" w:pos="880"/>
              <w:tab w:val="right" w:leader="dot" w:pos="9016"/>
            </w:tabs>
            <w:rPr>
              <w:rFonts w:eastAsiaTheme="minorEastAsia"/>
              <w:noProof/>
              <w:lang w:eastAsia="en-AU"/>
            </w:rPr>
          </w:pPr>
          <w:hyperlink w:anchor="_Toc3459033" w:history="1">
            <w:r w:rsidR="000A5365" w:rsidRPr="00BF2D3D">
              <w:rPr>
                <w:rStyle w:val="Hyperlink"/>
                <w:noProof/>
              </w:rPr>
              <w:t>2.2</w:t>
            </w:r>
            <w:r w:rsidR="000A5365">
              <w:rPr>
                <w:rFonts w:eastAsiaTheme="minorEastAsia"/>
                <w:noProof/>
                <w:lang w:eastAsia="en-AU"/>
              </w:rPr>
              <w:tab/>
            </w:r>
            <w:r w:rsidR="000A5365" w:rsidRPr="00BF2D3D">
              <w:rPr>
                <w:rStyle w:val="Hyperlink"/>
                <w:noProof/>
              </w:rPr>
              <w:t>Reliability</w:t>
            </w:r>
            <w:r w:rsidR="000A5365">
              <w:rPr>
                <w:noProof/>
                <w:webHidden/>
              </w:rPr>
              <w:tab/>
            </w:r>
            <w:r w:rsidR="000A5365">
              <w:rPr>
                <w:noProof/>
                <w:webHidden/>
              </w:rPr>
              <w:fldChar w:fldCharType="begin"/>
            </w:r>
            <w:r w:rsidR="000A5365">
              <w:rPr>
                <w:noProof/>
                <w:webHidden/>
              </w:rPr>
              <w:instrText xml:space="preserve"> PAGEREF _Toc3459033 \h </w:instrText>
            </w:r>
            <w:r w:rsidR="000A5365">
              <w:rPr>
                <w:noProof/>
                <w:webHidden/>
              </w:rPr>
            </w:r>
            <w:r w:rsidR="000A5365">
              <w:rPr>
                <w:noProof/>
                <w:webHidden/>
              </w:rPr>
              <w:fldChar w:fldCharType="separate"/>
            </w:r>
            <w:r w:rsidR="000A5365">
              <w:rPr>
                <w:noProof/>
                <w:webHidden/>
              </w:rPr>
              <w:t>7</w:t>
            </w:r>
            <w:r w:rsidR="000A5365">
              <w:rPr>
                <w:noProof/>
                <w:webHidden/>
              </w:rPr>
              <w:fldChar w:fldCharType="end"/>
            </w:r>
          </w:hyperlink>
        </w:p>
        <w:p w14:paraId="2CE3BF16" w14:textId="77777777" w:rsidR="000A5365" w:rsidRDefault="00DA24F3">
          <w:pPr>
            <w:pStyle w:val="TOC2"/>
            <w:tabs>
              <w:tab w:val="left" w:pos="880"/>
              <w:tab w:val="right" w:leader="dot" w:pos="9016"/>
            </w:tabs>
            <w:rPr>
              <w:rFonts w:eastAsiaTheme="minorEastAsia"/>
              <w:noProof/>
              <w:lang w:eastAsia="en-AU"/>
            </w:rPr>
          </w:pPr>
          <w:hyperlink w:anchor="_Toc3459034" w:history="1">
            <w:r w:rsidR="000A5365" w:rsidRPr="00BF2D3D">
              <w:rPr>
                <w:rStyle w:val="Hyperlink"/>
                <w:noProof/>
              </w:rPr>
              <w:t>2.3</w:t>
            </w:r>
            <w:r w:rsidR="000A5365">
              <w:rPr>
                <w:rFonts w:eastAsiaTheme="minorEastAsia"/>
                <w:noProof/>
                <w:lang w:eastAsia="en-AU"/>
              </w:rPr>
              <w:tab/>
            </w:r>
            <w:r w:rsidR="000A5365" w:rsidRPr="00BF2D3D">
              <w:rPr>
                <w:rStyle w:val="Hyperlink"/>
                <w:noProof/>
              </w:rPr>
              <w:t>Flexibility</w:t>
            </w:r>
            <w:r w:rsidR="000A5365">
              <w:rPr>
                <w:noProof/>
                <w:webHidden/>
              </w:rPr>
              <w:tab/>
            </w:r>
            <w:r w:rsidR="000A5365">
              <w:rPr>
                <w:noProof/>
                <w:webHidden/>
              </w:rPr>
              <w:fldChar w:fldCharType="begin"/>
            </w:r>
            <w:r w:rsidR="000A5365">
              <w:rPr>
                <w:noProof/>
                <w:webHidden/>
              </w:rPr>
              <w:instrText xml:space="preserve"> PAGEREF _Toc3459034 \h </w:instrText>
            </w:r>
            <w:r w:rsidR="000A5365">
              <w:rPr>
                <w:noProof/>
                <w:webHidden/>
              </w:rPr>
            </w:r>
            <w:r w:rsidR="000A5365">
              <w:rPr>
                <w:noProof/>
                <w:webHidden/>
              </w:rPr>
              <w:fldChar w:fldCharType="separate"/>
            </w:r>
            <w:r w:rsidR="000A5365">
              <w:rPr>
                <w:noProof/>
                <w:webHidden/>
              </w:rPr>
              <w:t>8</w:t>
            </w:r>
            <w:r w:rsidR="000A5365">
              <w:rPr>
                <w:noProof/>
                <w:webHidden/>
              </w:rPr>
              <w:fldChar w:fldCharType="end"/>
            </w:r>
          </w:hyperlink>
        </w:p>
        <w:p w14:paraId="38268CE1" w14:textId="77777777" w:rsidR="000A5365" w:rsidRDefault="00DA24F3">
          <w:pPr>
            <w:pStyle w:val="TOC1"/>
            <w:tabs>
              <w:tab w:val="left" w:pos="440"/>
            </w:tabs>
            <w:rPr>
              <w:rFonts w:eastAsiaTheme="minorEastAsia"/>
              <w:noProof/>
              <w:lang w:eastAsia="en-AU"/>
            </w:rPr>
          </w:pPr>
          <w:hyperlink w:anchor="_Toc3459035" w:history="1">
            <w:r w:rsidR="000A5365" w:rsidRPr="00BF2D3D">
              <w:rPr>
                <w:rStyle w:val="Hyperlink"/>
                <w:noProof/>
              </w:rPr>
              <w:t>3.</w:t>
            </w:r>
            <w:r w:rsidR="000A5365">
              <w:rPr>
                <w:rFonts w:eastAsiaTheme="minorEastAsia"/>
                <w:noProof/>
                <w:lang w:eastAsia="en-AU"/>
              </w:rPr>
              <w:tab/>
            </w:r>
            <w:r w:rsidR="000A5365" w:rsidRPr="00BF2D3D">
              <w:rPr>
                <w:rStyle w:val="Hyperlink"/>
                <w:noProof/>
              </w:rPr>
              <w:t>Approval for use</w:t>
            </w:r>
            <w:r w:rsidR="000A5365">
              <w:rPr>
                <w:noProof/>
                <w:webHidden/>
              </w:rPr>
              <w:tab/>
            </w:r>
            <w:r w:rsidR="000A5365">
              <w:rPr>
                <w:noProof/>
                <w:webHidden/>
              </w:rPr>
              <w:fldChar w:fldCharType="begin"/>
            </w:r>
            <w:r w:rsidR="000A5365">
              <w:rPr>
                <w:noProof/>
                <w:webHidden/>
              </w:rPr>
              <w:instrText xml:space="preserve"> PAGEREF _Toc3459035 \h </w:instrText>
            </w:r>
            <w:r w:rsidR="000A5365">
              <w:rPr>
                <w:noProof/>
                <w:webHidden/>
              </w:rPr>
            </w:r>
            <w:r w:rsidR="000A5365">
              <w:rPr>
                <w:noProof/>
                <w:webHidden/>
              </w:rPr>
              <w:fldChar w:fldCharType="separate"/>
            </w:r>
            <w:r w:rsidR="000A5365">
              <w:rPr>
                <w:noProof/>
                <w:webHidden/>
              </w:rPr>
              <w:t>10</w:t>
            </w:r>
            <w:r w:rsidR="000A5365">
              <w:rPr>
                <w:noProof/>
                <w:webHidden/>
              </w:rPr>
              <w:fldChar w:fldCharType="end"/>
            </w:r>
          </w:hyperlink>
        </w:p>
        <w:p w14:paraId="39F75E11" w14:textId="77777777" w:rsidR="000A5365" w:rsidRDefault="00DA24F3">
          <w:pPr>
            <w:pStyle w:val="TOC2"/>
            <w:tabs>
              <w:tab w:val="left" w:pos="880"/>
              <w:tab w:val="right" w:leader="dot" w:pos="9016"/>
            </w:tabs>
            <w:rPr>
              <w:rFonts w:eastAsiaTheme="minorEastAsia"/>
              <w:noProof/>
              <w:lang w:eastAsia="en-AU"/>
            </w:rPr>
          </w:pPr>
          <w:hyperlink w:anchor="_Toc3459036" w:history="1">
            <w:r w:rsidR="000A5365" w:rsidRPr="00BF2D3D">
              <w:rPr>
                <w:rStyle w:val="Hyperlink"/>
                <w:noProof/>
              </w:rPr>
              <w:t>3.1</w:t>
            </w:r>
            <w:r w:rsidR="000A5365">
              <w:rPr>
                <w:rFonts w:eastAsiaTheme="minorEastAsia"/>
                <w:noProof/>
                <w:lang w:eastAsia="en-AU"/>
              </w:rPr>
              <w:tab/>
            </w:r>
            <w:r w:rsidR="000A5365" w:rsidRPr="00BF2D3D">
              <w:rPr>
                <w:rStyle w:val="Hyperlink"/>
                <w:noProof/>
              </w:rPr>
              <w:t>Pattern Approval</w:t>
            </w:r>
            <w:r w:rsidR="000A5365">
              <w:rPr>
                <w:noProof/>
                <w:webHidden/>
              </w:rPr>
              <w:tab/>
            </w:r>
            <w:r w:rsidR="000A5365">
              <w:rPr>
                <w:noProof/>
                <w:webHidden/>
              </w:rPr>
              <w:fldChar w:fldCharType="begin"/>
            </w:r>
            <w:r w:rsidR="000A5365">
              <w:rPr>
                <w:noProof/>
                <w:webHidden/>
              </w:rPr>
              <w:instrText xml:space="preserve"> PAGEREF _Toc3459036 \h </w:instrText>
            </w:r>
            <w:r w:rsidR="000A5365">
              <w:rPr>
                <w:noProof/>
                <w:webHidden/>
              </w:rPr>
            </w:r>
            <w:r w:rsidR="000A5365">
              <w:rPr>
                <w:noProof/>
                <w:webHidden/>
              </w:rPr>
              <w:fldChar w:fldCharType="separate"/>
            </w:r>
            <w:r w:rsidR="000A5365">
              <w:rPr>
                <w:noProof/>
                <w:webHidden/>
              </w:rPr>
              <w:t>10</w:t>
            </w:r>
            <w:r w:rsidR="000A5365">
              <w:rPr>
                <w:noProof/>
                <w:webHidden/>
              </w:rPr>
              <w:fldChar w:fldCharType="end"/>
            </w:r>
          </w:hyperlink>
        </w:p>
        <w:p w14:paraId="61E09335" w14:textId="77777777" w:rsidR="000A5365" w:rsidRDefault="00DA24F3">
          <w:pPr>
            <w:pStyle w:val="TOC1"/>
            <w:tabs>
              <w:tab w:val="left" w:pos="440"/>
            </w:tabs>
            <w:rPr>
              <w:rFonts w:eastAsiaTheme="minorEastAsia"/>
              <w:noProof/>
              <w:lang w:eastAsia="en-AU"/>
            </w:rPr>
          </w:pPr>
          <w:hyperlink w:anchor="_Toc3459037" w:history="1">
            <w:r w:rsidR="000A5365" w:rsidRPr="00BF2D3D">
              <w:rPr>
                <w:rStyle w:val="Hyperlink"/>
                <w:noProof/>
              </w:rPr>
              <w:t>4.</w:t>
            </w:r>
            <w:r w:rsidR="000A5365">
              <w:rPr>
                <w:rFonts w:eastAsiaTheme="minorEastAsia"/>
                <w:noProof/>
                <w:lang w:eastAsia="en-AU"/>
              </w:rPr>
              <w:tab/>
            </w:r>
            <w:r w:rsidR="000A5365" w:rsidRPr="00BF2D3D">
              <w:rPr>
                <w:rStyle w:val="Hyperlink"/>
                <w:noProof/>
              </w:rPr>
              <w:t>Ongoing confidence</w:t>
            </w:r>
            <w:r w:rsidR="000A5365">
              <w:rPr>
                <w:noProof/>
                <w:webHidden/>
              </w:rPr>
              <w:tab/>
            </w:r>
            <w:r w:rsidR="000A5365">
              <w:rPr>
                <w:noProof/>
                <w:webHidden/>
              </w:rPr>
              <w:fldChar w:fldCharType="begin"/>
            </w:r>
            <w:r w:rsidR="000A5365">
              <w:rPr>
                <w:noProof/>
                <w:webHidden/>
              </w:rPr>
              <w:instrText xml:space="preserve"> PAGEREF _Toc3459037 \h </w:instrText>
            </w:r>
            <w:r w:rsidR="000A5365">
              <w:rPr>
                <w:noProof/>
                <w:webHidden/>
              </w:rPr>
            </w:r>
            <w:r w:rsidR="000A5365">
              <w:rPr>
                <w:noProof/>
                <w:webHidden/>
              </w:rPr>
              <w:fldChar w:fldCharType="separate"/>
            </w:r>
            <w:r w:rsidR="000A5365">
              <w:rPr>
                <w:noProof/>
                <w:webHidden/>
              </w:rPr>
              <w:t>12</w:t>
            </w:r>
            <w:r w:rsidR="000A5365">
              <w:rPr>
                <w:noProof/>
                <w:webHidden/>
              </w:rPr>
              <w:fldChar w:fldCharType="end"/>
            </w:r>
          </w:hyperlink>
        </w:p>
        <w:p w14:paraId="7F7C3AB5" w14:textId="77777777" w:rsidR="000A5365" w:rsidRDefault="00DA24F3">
          <w:pPr>
            <w:pStyle w:val="TOC2"/>
            <w:tabs>
              <w:tab w:val="left" w:pos="880"/>
              <w:tab w:val="right" w:leader="dot" w:pos="9016"/>
            </w:tabs>
            <w:rPr>
              <w:rFonts w:eastAsiaTheme="minorEastAsia"/>
              <w:noProof/>
              <w:lang w:eastAsia="en-AU"/>
            </w:rPr>
          </w:pPr>
          <w:hyperlink w:anchor="_Toc3459038" w:history="1">
            <w:r w:rsidR="000A5365" w:rsidRPr="00BF2D3D">
              <w:rPr>
                <w:rStyle w:val="Hyperlink"/>
                <w:noProof/>
              </w:rPr>
              <w:t>4.1</w:t>
            </w:r>
            <w:r w:rsidR="000A5365">
              <w:rPr>
                <w:rFonts w:eastAsiaTheme="minorEastAsia"/>
                <w:noProof/>
                <w:lang w:eastAsia="en-AU"/>
              </w:rPr>
              <w:tab/>
            </w:r>
            <w:r w:rsidR="000A5365" w:rsidRPr="00BF2D3D">
              <w:rPr>
                <w:rStyle w:val="Hyperlink"/>
                <w:noProof/>
              </w:rPr>
              <w:t>Verification</w:t>
            </w:r>
            <w:r w:rsidR="000A5365">
              <w:rPr>
                <w:noProof/>
                <w:webHidden/>
              </w:rPr>
              <w:tab/>
            </w:r>
            <w:r w:rsidR="000A5365">
              <w:rPr>
                <w:noProof/>
                <w:webHidden/>
              </w:rPr>
              <w:fldChar w:fldCharType="begin"/>
            </w:r>
            <w:r w:rsidR="000A5365">
              <w:rPr>
                <w:noProof/>
                <w:webHidden/>
              </w:rPr>
              <w:instrText xml:space="preserve"> PAGEREF _Toc3459038 \h </w:instrText>
            </w:r>
            <w:r w:rsidR="000A5365">
              <w:rPr>
                <w:noProof/>
                <w:webHidden/>
              </w:rPr>
            </w:r>
            <w:r w:rsidR="000A5365">
              <w:rPr>
                <w:noProof/>
                <w:webHidden/>
              </w:rPr>
              <w:fldChar w:fldCharType="separate"/>
            </w:r>
            <w:r w:rsidR="000A5365">
              <w:rPr>
                <w:noProof/>
                <w:webHidden/>
              </w:rPr>
              <w:t>12</w:t>
            </w:r>
            <w:r w:rsidR="000A5365">
              <w:rPr>
                <w:noProof/>
                <w:webHidden/>
              </w:rPr>
              <w:fldChar w:fldCharType="end"/>
            </w:r>
          </w:hyperlink>
        </w:p>
        <w:p w14:paraId="5BE52584" w14:textId="77777777" w:rsidR="000A5365" w:rsidRDefault="00DA24F3">
          <w:pPr>
            <w:pStyle w:val="TOC2"/>
            <w:tabs>
              <w:tab w:val="left" w:pos="880"/>
              <w:tab w:val="right" w:leader="dot" w:pos="9016"/>
            </w:tabs>
            <w:rPr>
              <w:rFonts w:eastAsiaTheme="minorEastAsia"/>
              <w:noProof/>
              <w:lang w:eastAsia="en-AU"/>
            </w:rPr>
          </w:pPr>
          <w:hyperlink w:anchor="_Toc3459039" w:history="1">
            <w:r w:rsidR="000A5365" w:rsidRPr="00BF2D3D">
              <w:rPr>
                <w:rStyle w:val="Hyperlink"/>
                <w:noProof/>
              </w:rPr>
              <w:t>4.2</w:t>
            </w:r>
            <w:r w:rsidR="000A5365">
              <w:rPr>
                <w:rFonts w:eastAsiaTheme="minorEastAsia"/>
                <w:noProof/>
                <w:lang w:eastAsia="en-AU"/>
              </w:rPr>
              <w:tab/>
            </w:r>
            <w:r w:rsidR="000A5365" w:rsidRPr="00BF2D3D">
              <w:rPr>
                <w:rStyle w:val="Hyperlink"/>
                <w:noProof/>
              </w:rPr>
              <w:t>National Instrument Test Procedure (NITP)</w:t>
            </w:r>
            <w:r w:rsidR="000A5365">
              <w:rPr>
                <w:noProof/>
                <w:webHidden/>
              </w:rPr>
              <w:tab/>
            </w:r>
            <w:r w:rsidR="000A5365">
              <w:rPr>
                <w:noProof/>
                <w:webHidden/>
              </w:rPr>
              <w:fldChar w:fldCharType="begin"/>
            </w:r>
            <w:r w:rsidR="000A5365">
              <w:rPr>
                <w:noProof/>
                <w:webHidden/>
              </w:rPr>
              <w:instrText xml:space="preserve"> PAGEREF _Toc3459039 \h </w:instrText>
            </w:r>
            <w:r w:rsidR="000A5365">
              <w:rPr>
                <w:noProof/>
                <w:webHidden/>
              </w:rPr>
            </w:r>
            <w:r w:rsidR="000A5365">
              <w:rPr>
                <w:noProof/>
                <w:webHidden/>
              </w:rPr>
              <w:fldChar w:fldCharType="separate"/>
            </w:r>
            <w:r w:rsidR="000A5365">
              <w:rPr>
                <w:noProof/>
                <w:webHidden/>
              </w:rPr>
              <w:t>13</w:t>
            </w:r>
            <w:r w:rsidR="000A5365">
              <w:rPr>
                <w:noProof/>
                <w:webHidden/>
              </w:rPr>
              <w:fldChar w:fldCharType="end"/>
            </w:r>
          </w:hyperlink>
        </w:p>
        <w:p w14:paraId="00DD2B39" w14:textId="77777777" w:rsidR="000A5365" w:rsidRDefault="00DA24F3">
          <w:pPr>
            <w:pStyle w:val="TOC2"/>
            <w:tabs>
              <w:tab w:val="left" w:pos="880"/>
              <w:tab w:val="right" w:leader="dot" w:pos="9016"/>
            </w:tabs>
            <w:rPr>
              <w:rFonts w:eastAsiaTheme="minorEastAsia"/>
              <w:noProof/>
              <w:lang w:eastAsia="en-AU"/>
            </w:rPr>
          </w:pPr>
          <w:hyperlink w:anchor="_Toc3459040" w:history="1">
            <w:r w:rsidR="000A5365" w:rsidRPr="00BF2D3D">
              <w:rPr>
                <w:rStyle w:val="Hyperlink"/>
                <w:noProof/>
              </w:rPr>
              <w:t>4.3</w:t>
            </w:r>
            <w:r w:rsidR="000A5365">
              <w:rPr>
                <w:rFonts w:eastAsiaTheme="minorEastAsia"/>
                <w:noProof/>
                <w:lang w:eastAsia="en-AU"/>
              </w:rPr>
              <w:tab/>
            </w:r>
            <w:r w:rsidR="000A5365" w:rsidRPr="00BF2D3D">
              <w:rPr>
                <w:rStyle w:val="Hyperlink"/>
                <w:noProof/>
              </w:rPr>
              <w:t>Pattern compliance</w:t>
            </w:r>
            <w:r w:rsidR="000A5365">
              <w:rPr>
                <w:noProof/>
                <w:webHidden/>
              </w:rPr>
              <w:tab/>
            </w:r>
            <w:r w:rsidR="000A5365">
              <w:rPr>
                <w:noProof/>
                <w:webHidden/>
              </w:rPr>
              <w:fldChar w:fldCharType="begin"/>
            </w:r>
            <w:r w:rsidR="000A5365">
              <w:rPr>
                <w:noProof/>
                <w:webHidden/>
              </w:rPr>
              <w:instrText xml:space="preserve"> PAGEREF _Toc3459040 \h </w:instrText>
            </w:r>
            <w:r w:rsidR="000A5365">
              <w:rPr>
                <w:noProof/>
                <w:webHidden/>
              </w:rPr>
            </w:r>
            <w:r w:rsidR="000A5365">
              <w:rPr>
                <w:noProof/>
                <w:webHidden/>
              </w:rPr>
              <w:fldChar w:fldCharType="separate"/>
            </w:r>
            <w:r w:rsidR="000A5365">
              <w:rPr>
                <w:noProof/>
                <w:webHidden/>
              </w:rPr>
              <w:t>13</w:t>
            </w:r>
            <w:r w:rsidR="000A5365">
              <w:rPr>
                <w:noProof/>
                <w:webHidden/>
              </w:rPr>
              <w:fldChar w:fldCharType="end"/>
            </w:r>
          </w:hyperlink>
        </w:p>
        <w:p w14:paraId="3FCFDD42" w14:textId="77777777" w:rsidR="000A5365" w:rsidRDefault="00DA24F3">
          <w:pPr>
            <w:pStyle w:val="TOC2"/>
            <w:tabs>
              <w:tab w:val="left" w:pos="880"/>
              <w:tab w:val="right" w:leader="dot" w:pos="9016"/>
            </w:tabs>
            <w:rPr>
              <w:rFonts w:eastAsiaTheme="minorEastAsia"/>
              <w:noProof/>
              <w:lang w:eastAsia="en-AU"/>
            </w:rPr>
          </w:pPr>
          <w:hyperlink w:anchor="_Toc3459041" w:history="1">
            <w:r w:rsidR="000A5365" w:rsidRPr="00BF2D3D">
              <w:rPr>
                <w:rStyle w:val="Hyperlink"/>
                <w:noProof/>
              </w:rPr>
              <w:t>4.4</w:t>
            </w:r>
            <w:r w:rsidR="000A5365">
              <w:rPr>
                <w:rFonts w:eastAsiaTheme="minorEastAsia"/>
                <w:noProof/>
                <w:lang w:eastAsia="en-AU"/>
              </w:rPr>
              <w:tab/>
            </w:r>
            <w:r w:rsidR="000A5365" w:rsidRPr="00BF2D3D">
              <w:rPr>
                <w:rStyle w:val="Hyperlink"/>
                <w:noProof/>
              </w:rPr>
              <w:t>Certification</w:t>
            </w:r>
            <w:r w:rsidR="000A5365">
              <w:rPr>
                <w:noProof/>
                <w:webHidden/>
              </w:rPr>
              <w:tab/>
            </w:r>
            <w:r w:rsidR="000A5365">
              <w:rPr>
                <w:noProof/>
                <w:webHidden/>
              </w:rPr>
              <w:fldChar w:fldCharType="begin"/>
            </w:r>
            <w:r w:rsidR="000A5365">
              <w:rPr>
                <w:noProof/>
                <w:webHidden/>
              </w:rPr>
              <w:instrText xml:space="preserve"> PAGEREF _Toc3459041 \h </w:instrText>
            </w:r>
            <w:r w:rsidR="000A5365">
              <w:rPr>
                <w:noProof/>
                <w:webHidden/>
              </w:rPr>
            </w:r>
            <w:r w:rsidR="000A5365">
              <w:rPr>
                <w:noProof/>
                <w:webHidden/>
              </w:rPr>
              <w:fldChar w:fldCharType="separate"/>
            </w:r>
            <w:r w:rsidR="000A5365">
              <w:rPr>
                <w:noProof/>
                <w:webHidden/>
              </w:rPr>
              <w:t>14</w:t>
            </w:r>
            <w:r w:rsidR="000A5365">
              <w:rPr>
                <w:noProof/>
                <w:webHidden/>
              </w:rPr>
              <w:fldChar w:fldCharType="end"/>
            </w:r>
          </w:hyperlink>
        </w:p>
        <w:p w14:paraId="2B1889E7" w14:textId="5792AEE7" w:rsidR="009D1F4C" w:rsidRDefault="0098632A" w:rsidP="009D1F4C">
          <w:pPr>
            <w:rPr>
              <w:b/>
              <w:bCs/>
              <w:noProof/>
            </w:rPr>
          </w:pPr>
          <w:r>
            <w:rPr>
              <w:rFonts w:ascii="Arial" w:hAnsi="Arial" w:cs="Arial"/>
              <w:b/>
              <w:sz w:val="24"/>
            </w:rPr>
            <w:fldChar w:fldCharType="end"/>
          </w:r>
        </w:p>
      </w:sdtContent>
    </w:sdt>
    <w:p w14:paraId="314CAB83" w14:textId="77777777" w:rsidR="009D1F4C" w:rsidRDefault="009D1F4C">
      <w:pPr>
        <w:rPr>
          <w:b/>
          <w:bCs/>
          <w:noProof/>
        </w:rPr>
      </w:pPr>
      <w:r>
        <w:rPr>
          <w:b/>
          <w:bCs/>
          <w:noProof/>
        </w:rPr>
        <w:br w:type="page"/>
      </w:r>
    </w:p>
    <w:p w14:paraId="07D1646D" w14:textId="77777777" w:rsidR="009D1F4C" w:rsidRDefault="009D1F4C" w:rsidP="00AE5115">
      <w:pPr>
        <w:jc w:val="center"/>
      </w:pPr>
    </w:p>
    <w:p w14:paraId="1A6E32ED" w14:textId="7A4342E3" w:rsidR="009D1F4C" w:rsidRDefault="009D1F4C" w:rsidP="00AE5115">
      <w:pPr>
        <w:pStyle w:val="Heading1"/>
        <w:numPr>
          <w:ilvl w:val="0"/>
          <w:numId w:val="52"/>
        </w:numPr>
      </w:pPr>
      <w:bookmarkStart w:id="5" w:name="_Toc3459028"/>
      <w:bookmarkStart w:id="6" w:name="_Toc529897215"/>
      <w:bookmarkStart w:id="7" w:name="_Toc530140680"/>
      <w:bookmarkStart w:id="8" w:name="_Toc530163731"/>
      <w:bookmarkStart w:id="9" w:name="_Toc530575806"/>
      <w:r>
        <w:t>Overview</w:t>
      </w:r>
      <w:bookmarkEnd w:id="5"/>
    </w:p>
    <w:p w14:paraId="688D2802" w14:textId="42C8F386" w:rsidR="00916815" w:rsidRPr="0030755B" w:rsidRDefault="00916815" w:rsidP="009B1EEE">
      <w:r w:rsidRPr="0030755B">
        <w:t>Measurement plays an important role in Australia’s eco</w:t>
      </w:r>
      <w:r w:rsidR="00C1023A">
        <w:t>nomy. As detailed in section 51</w:t>
      </w:r>
      <w:r w:rsidRPr="0030755B">
        <w:t>(xv) of the Constitution, the Australian Government has responsibility for weights and measures and, in keeping with this responsibility, enacted legislation to carry out its metrological functions. The objectives of this legislation include establishing and coordinating a uniform national system of measurement, including trade measurement.</w:t>
      </w:r>
    </w:p>
    <w:p w14:paraId="4B1E0214" w14:textId="77777777" w:rsidR="008652AB" w:rsidRDefault="008652AB" w:rsidP="008652AB">
      <w:r>
        <w:t>A 2015 independent</w:t>
      </w:r>
      <w:r w:rsidRPr="00505332">
        <w:t xml:space="preserve"> </w:t>
      </w:r>
      <w:r>
        <w:t>review of Australia’s legal metrology activities indicated while the national measurement system is working well, the legislation is:</w:t>
      </w:r>
    </w:p>
    <w:p w14:paraId="5942852B" w14:textId="77777777" w:rsidR="008652AB" w:rsidRPr="006E0F9C" w:rsidRDefault="008652AB" w:rsidP="008652AB">
      <w:pPr>
        <w:numPr>
          <w:ilvl w:val="0"/>
          <w:numId w:val="18"/>
        </w:numPr>
        <w:contextualSpacing/>
        <w:rPr>
          <w:rFonts w:eastAsia="Times New Roman" w:cs="Times New Roman"/>
        </w:rPr>
      </w:pPr>
      <w:r w:rsidRPr="006E0F9C">
        <w:rPr>
          <w:rFonts w:eastAsia="Times New Roman" w:cs="Times New Roman"/>
        </w:rPr>
        <w:t>very prescriptive and needs to address matters of policy and principle, reduce prescription and remove matters of detail (regulatory processes) into subordinate legislation or guidance material</w:t>
      </w:r>
    </w:p>
    <w:p w14:paraId="256386F0" w14:textId="77777777" w:rsidR="008652AB" w:rsidRDefault="008652AB" w:rsidP="004420A9">
      <w:pPr>
        <w:numPr>
          <w:ilvl w:val="0"/>
          <w:numId w:val="18"/>
        </w:numPr>
        <w:contextualSpacing/>
        <w:rPr>
          <w:rFonts w:eastAsia="Times New Roman" w:cs="Times New Roman"/>
        </w:rPr>
      </w:pPr>
      <w:r w:rsidRPr="006E0F9C">
        <w:rPr>
          <w:rFonts w:eastAsia="Times New Roman" w:cs="Times New Roman"/>
        </w:rPr>
        <w:t>complicated and needs to enable the public to understand their obligations and the implications of regulatory measurements, and</w:t>
      </w:r>
    </w:p>
    <w:p w14:paraId="4A56E2C2" w14:textId="763C7B47" w:rsidR="008652AB" w:rsidRPr="008652AB" w:rsidRDefault="008652AB" w:rsidP="004420A9">
      <w:pPr>
        <w:numPr>
          <w:ilvl w:val="0"/>
          <w:numId w:val="18"/>
        </w:numPr>
        <w:rPr>
          <w:rFonts w:eastAsia="Times New Roman" w:cs="Times New Roman"/>
        </w:rPr>
      </w:pPr>
      <w:r w:rsidRPr="00C7702A">
        <w:rPr>
          <w:rFonts w:eastAsia="Times New Roman" w:cs="Times New Roman"/>
        </w:rPr>
        <w:t>not easy to understand and needs to be written in plain language to improve clarity and simplicity</w:t>
      </w:r>
      <w:r w:rsidRPr="004420A9">
        <w:t>.</w:t>
      </w:r>
    </w:p>
    <w:p w14:paraId="1892E2C1" w14:textId="343D571B" w:rsidR="00107FF2" w:rsidRPr="00F14F91" w:rsidRDefault="00107FF2" w:rsidP="00C7702A">
      <w:r w:rsidRPr="00F14F91">
        <w:t xml:space="preserve">The measurement law needs to: better reflect and integrate current policy and principles into the legislation; articulate performance outcomes; and enhance flexibility, </w:t>
      </w:r>
      <w:r w:rsidR="003C62D7">
        <w:t>with consideration given to</w:t>
      </w:r>
      <w:r w:rsidRPr="00F14F91">
        <w:t xml:space="preserve"> the application of a principles-based approach. </w:t>
      </w:r>
    </w:p>
    <w:p w14:paraId="688D2808" w14:textId="08870064" w:rsidR="00916815" w:rsidRPr="00135CAE" w:rsidRDefault="00916815" w:rsidP="00135CAE">
      <w:pPr>
        <w:pStyle w:val="Heading2"/>
        <w:numPr>
          <w:ilvl w:val="1"/>
          <w:numId w:val="29"/>
        </w:numPr>
      </w:pPr>
      <w:bookmarkStart w:id="10" w:name="_Toc3459029"/>
      <w:r w:rsidRPr="00135CAE">
        <w:t xml:space="preserve">The </w:t>
      </w:r>
      <w:r w:rsidR="00981CB3" w:rsidRPr="00135CAE">
        <w:t>Measurement Law Review</w:t>
      </w:r>
      <w:r w:rsidR="00F65E5A" w:rsidRPr="00135CAE">
        <w:t xml:space="preserve"> (</w:t>
      </w:r>
      <w:r w:rsidR="004428D4" w:rsidRPr="00135CAE">
        <w:t>t</w:t>
      </w:r>
      <w:r w:rsidR="00F65E5A" w:rsidRPr="00135CAE">
        <w:t>he Review)</w:t>
      </w:r>
      <w:bookmarkEnd w:id="10"/>
    </w:p>
    <w:p w14:paraId="688D2809" w14:textId="3E26BA98" w:rsidR="00916815" w:rsidRPr="0030755B" w:rsidRDefault="00916815" w:rsidP="009B1EEE">
      <w:r w:rsidRPr="0030755B">
        <w:t xml:space="preserve">The Australian Government is conducting a review of Australia’s measurement laws. The </w:t>
      </w:r>
      <w:r w:rsidR="007458C0">
        <w:t>R</w:t>
      </w:r>
      <w:r w:rsidRPr="0030755B">
        <w:t>eview aims to ensure Australia’s measurement framework can support the economy now and into the future as technology, industry and consumer needs evolve.</w:t>
      </w:r>
    </w:p>
    <w:p w14:paraId="688D280A" w14:textId="6ED130E2" w:rsidR="00916815" w:rsidRPr="009A0959" w:rsidRDefault="00916815" w:rsidP="009B1EEE">
      <w:pPr>
        <w:rPr>
          <w:szCs w:val="20"/>
        </w:rPr>
      </w:pPr>
      <w:r w:rsidRPr="0030755B">
        <w:t xml:space="preserve">The Review provides an opportunity to consider whether the </w:t>
      </w:r>
      <w:r w:rsidR="007458C0">
        <w:t xml:space="preserve">current </w:t>
      </w:r>
      <w:r w:rsidRPr="0030755B">
        <w:t xml:space="preserve">legislation continues to be appropriate, effective and efficient. This paper is not an exhaustive exploration of the topic and you are welcome to raise issues and views not outlined in this paper in your submission. </w:t>
      </w:r>
      <w:r w:rsidR="00E22E88">
        <w:rPr>
          <w:szCs w:val="20"/>
        </w:rPr>
        <w:t>Q</w:t>
      </w:r>
      <w:r w:rsidR="009A0959" w:rsidRPr="00F14F91">
        <w:rPr>
          <w:szCs w:val="20"/>
        </w:rPr>
        <w:t xml:space="preserve">uestions are provided at the end </w:t>
      </w:r>
      <w:r w:rsidR="009A0959" w:rsidRPr="00F14F91" w:rsidDel="003446A2">
        <w:rPr>
          <w:szCs w:val="20"/>
        </w:rPr>
        <w:t xml:space="preserve">of each section </w:t>
      </w:r>
      <w:r w:rsidR="009A0959" w:rsidRPr="00F14F91">
        <w:rPr>
          <w:szCs w:val="20"/>
        </w:rPr>
        <w:t xml:space="preserve">to prompt feedback. Any calculations of costs or benefits </w:t>
      </w:r>
      <w:r w:rsidR="009A0959">
        <w:rPr>
          <w:szCs w:val="20"/>
        </w:rPr>
        <w:t xml:space="preserve">of the </w:t>
      </w:r>
      <w:r w:rsidR="009A0959" w:rsidRPr="00F1043C">
        <w:rPr>
          <w:szCs w:val="20"/>
        </w:rPr>
        <w:t>current regulations or in response to</w:t>
      </w:r>
      <w:r w:rsidR="009A0959">
        <w:rPr>
          <w:szCs w:val="20"/>
        </w:rPr>
        <w:t xml:space="preserve"> identified issues</w:t>
      </w:r>
      <w:r w:rsidR="009A0959" w:rsidRPr="00F14F91">
        <w:rPr>
          <w:szCs w:val="20"/>
        </w:rPr>
        <w:t xml:space="preserve"> would be useful to include in your submission.</w:t>
      </w:r>
    </w:p>
    <w:p w14:paraId="688D280B" w14:textId="2A51ACD0" w:rsidR="00916815" w:rsidRPr="0030755B" w:rsidRDefault="00916815" w:rsidP="009B1EEE">
      <w:r w:rsidRPr="0030755B">
        <w:t>The Review would be interested in receiving responses from parties</w:t>
      </w:r>
      <w:r w:rsidR="00E22E88">
        <w:t xml:space="preserve"> including</w:t>
      </w:r>
      <w:r w:rsidR="00BE6DC1">
        <w:t>,</w:t>
      </w:r>
      <w:r w:rsidR="00E22E88">
        <w:t xml:space="preserve"> but not limited to:</w:t>
      </w:r>
    </w:p>
    <w:p w14:paraId="688D280C" w14:textId="284C563F" w:rsidR="00916815" w:rsidRPr="0030755B" w:rsidRDefault="00692E1C" w:rsidP="009B1EEE">
      <w:pPr>
        <w:pStyle w:val="ListParagraph"/>
        <w:numPr>
          <w:ilvl w:val="0"/>
          <w:numId w:val="19"/>
        </w:numPr>
      </w:pPr>
      <w:r>
        <w:t>businesses or individuals</w:t>
      </w:r>
      <w:r w:rsidR="00916815" w:rsidRPr="0030755B">
        <w:t xml:space="preserve"> involved in making </w:t>
      </w:r>
      <w:r w:rsidR="00107FF2">
        <w:t>or re</w:t>
      </w:r>
      <w:r>
        <w:t xml:space="preserve">lying on </w:t>
      </w:r>
      <w:r w:rsidRPr="0030755B">
        <w:t xml:space="preserve">measurements </w:t>
      </w:r>
      <w:r w:rsidR="00916815" w:rsidRPr="0030755B">
        <w:t>under the legislative framework</w:t>
      </w:r>
    </w:p>
    <w:p w14:paraId="688D280D" w14:textId="139576D2" w:rsidR="00916815" w:rsidRPr="0030755B" w:rsidRDefault="00916815" w:rsidP="009B1EEE">
      <w:pPr>
        <w:pStyle w:val="ListParagraph"/>
        <w:numPr>
          <w:ilvl w:val="0"/>
          <w:numId w:val="19"/>
        </w:numPr>
      </w:pPr>
      <w:r w:rsidRPr="0030755B">
        <w:t>providers of physical, chemical and/or biological measurement services</w:t>
      </w:r>
    </w:p>
    <w:p w14:paraId="24E90D94" w14:textId="67FC1826" w:rsidR="003F3B45" w:rsidRDefault="00916815" w:rsidP="009B1EEE">
      <w:pPr>
        <w:pStyle w:val="ListParagraph"/>
        <w:numPr>
          <w:ilvl w:val="0"/>
          <w:numId w:val="19"/>
        </w:numPr>
      </w:pPr>
      <w:r w:rsidRPr="0030755B">
        <w:t>providers of measuring instruments</w:t>
      </w:r>
    </w:p>
    <w:p w14:paraId="688D280E" w14:textId="4D375D0B" w:rsidR="00916815" w:rsidRPr="0030755B" w:rsidRDefault="00916815" w:rsidP="009B1EEE">
      <w:pPr>
        <w:pStyle w:val="ListParagraph"/>
        <w:numPr>
          <w:ilvl w:val="0"/>
          <w:numId w:val="19"/>
        </w:numPr>
      </w:pPr>
      <w:r w:rsidRPr="0030755B">
        <w:t>innovators of measurement technology</w:t>
      </w:r>
    </w:p>
    <w:p w14:paraId="688D280F" w14:textId="6027AA8F" w:rsidR="00916815" w:rsidRPr="0030755B" w:rsidRDefault="004E19F0" w:rsidP="009B1EEE">
      <w:pPr>
        <w:pStyle w:val="ListParagraph"/>
        <w:numPr>
          <w:ilvl w:val="0"/>
          <w:numId w:val="19"/>
        </w:numPr>
      </w:pPr>
      <w:r>
        <w:t xml:space="preserve">legal professionals, </w:t>
      </w:r>
      <w:r w:rsidR="00692E1C">
        <w:t>and</w:t>
      </w:r>
    </w:p>
    <w:p w14:paraId="688D2811" w14:textId="74D5BB02" w:rsidR="00916815" w:rsidRPr="0093771A" w:rsidRDefault="00916815" w:rsidP="009B1EEE">
      <w:pPr>
        <w:pStyle w:val="ListParagraph"/>
        <w:numPr>
          <w:ilvl w:val="0"/>
          <w:numId w:val="19"/>
        </w:numPr>
      </w:pPr>
      <w:r w:rsidRPr="0030755B">
        <w:t xml:space="preserve">consumers and the general </w:t>
      </w:r>
      <w:r w:rsidRPr="0093771A">
        <w:t xml:space="preserve">public </w:t>
      </w:r>
      <w:r w:rsidR="009875CA" w:rsidRPr="00135CAE">
        <w:t>who rely on or are impacted by measurement in their daily lives</w:t>
      </w:r>
      <w:r w:rsidR="003F3B45">
        <w:t>.</w:t>
      </w:r>
    </w:p>
    <w:p w14:paraId="688D2812" w14:textId="3488A508" w:rsidR="00CA2275" w:rsidRDefault="00916815" w:rsidP="00135CAE">
      <w:pPr>
        <w:rPr>
          <w:color w:val="5B9BD5" w:themeColor="accent1"/>
          <w:u w:val="single"/>
        </w:rPr>
      </w:pPr>
      <w:r w:rsidRPr="00135CAE">
        <w:t>For more information on the Review, please visit</w:t>
      </w:r>
      <w:r>
        <w:t xml:space="preserve"> </w:t>
      </w:r>
      <w:hyperlink r:id="rId17" w:tooltip="Measurement Law Review website link" w:history="1">
        <w:r w:rsidR="0009544B" w:rsidRPr="00135CAE">
          <w:rPr>
            <w:color w:val="5B9BD5" w:themeColor="accent1"/>
            <w:u w:val="single"/>
          </w:rPr>
          <w:t>www.industry.gov.au/measurement-law-review</w:t>
        </w:r>
      </w:hyperlink>
    </w:p>
    <w:p w14:paraId="792FE876" w14:textId="77777777" w:rsidR="00CA2275" w:rsidRDefault="00CA2275">
      <w:pPr>
        <w:rPr>
          <w:color w:val="5B9BD5" w:themeColor="accent1"/>
          <w:u w:val="single"/>
        </w:rPr>
      </w:pPr>
      <w:r>
        <w:rPr>
          <w:color w:val="5B9BD5" w:themeColor="accent1"/>
          <w:u w:val="single"/>
        </w:rPr>
        <w:br w:type="page"/>
      </w:r>
    </w:p>
    <w:p w14:paraId="57284B1C" w14:textId="795FE32D" w:rsidR="00A278E1" w:rsidRPr="00236117" w:rsidRDefault="00E22E88" w:rsidP="00135CAE">
      <w:pPr>
        <w:pStyle w:val="Heading2"/>
        <w:numPr>
          <w:ilvl w:val="1"/>
          <w:numId w:val="29"/>
        </w:numPr>
      </w:pPr>
      <w:bookmarkStart w:id="11" w:name="_Toc3459030"/>
      <w:r w:rsidRPr="00B860FA">
        <w:lastRenderedPageBreak/>
        <w:t>This Discussion Paper</w:t>
      </w:r>
      <w:bookmarkEnd w:id="11"/>
      <w:r w:rsidR="00236117">
        <w:br/>
      </w:r>
    </w:p>
    <w:p w14:paraId="688D2817" w14:textId="666EC8E6" w:rsidR="00754B24" w:rsidRPr="002431F3" w:rsidRDefault="00420748" w:rsidP="00420748">
      <w:pPr>
        <w:pStyle w:val="Casestudy"/>
      </w:pPr>
      <w:r w:rsidRPr="002431F3">
        <w:t>This paper outlines</w:t>
      </w:r>
      <w:r>
        <w:t xml:space="preserve"> the metrological control systems </w:t>
      </w:r>
      <w:r w:rsidR="00AC6061">
        <w:t>under</w:t>
      </w:r>
      <w:r w:rsidR="00AC6061" w:rsidRPr="002431F3">
        <w:t xml:space="preserve"> </w:t>
      </w:r>
      <w:r w:rsidRPr="002431F3">
        <w:t>Australia</w:t>
      </w:r>
      <w:r w:rsidR="00AC6061">
        <w:t xml:space="preserve">’s measurement laws </w:t>
      </w:r>
      <w:r w:rsidRPr="002431F3">
        <w:t xml:space="preserve">to establish the reliability of a </w:t>
      </w:r>
      <w:r w:rsidR="0093712A">
        <w:t>measuring</w:t>
      </w:r>
      <w:r w:rsidR="0093712A" w:rsidRPr="002431F3">
        <w:t xml:space="preserve"> </w:t>
      </w:r>
      <w:r w:rsidRPr="002431F3">
        <w:t>instrument</w:t>
      </w:r>
      <w:r>
        <w:t>. It</w:t>
      </w:r>
      <w:r w:rsidRPr="002431F3">
        <w:t xml:space="preserve"> discusses the tension between flexibility and reliability in regulation, provides some examples of international approaches and then poses a series of questions to prompt feedback</w:t>
      </w:r>
      <w:r>
        <w:t>.</w:t>
      </w:r>
    </w:p>
    <w:p w14:paraId="16222DF8" w14:textId="5ABCF594" w:rsidR="00C07A72" w:rsidRDefault="00C07A72" w:rsidP="009B1EEE">
      <w:r w:rsidRPr="00754B24">
        <w:t xml:space="preserve">This discussion paper on </w:t>
      </w:r>
      <w:r w:rsidRPr="00754B24">
        <w:rPr>
          <w:i/>
        </w:rPr>
        <w:t>Measuring Instruments</w:t>
      </w:r>
      <w:r w:rsidRPr="00754B24">
        <w:t xml:space="preserve"> will refer to</w:t>
      </w:r>
      <w:r>
        <w:t xml:space="preserve">: </w:t>
      </w:r>
    </w:p>
    <w:p w14:paraId="5C7E9783" w14:textId="2DC639EA" w:rsidR="00C07A72" w:rsidRPr="0016544A" w:rsidRDefault="00C07A72" w:rsidP="009B1EEE">
      <w:pPr>
        <w:pStyle w:val="ListParagraph"/>
        <w:numPr>
          <w:ilvl w:val="0"/>
          <w:numId w:val="20"/>
        </w:numPr>
      </w:pPr>
      <w:r w:rsidRPr="0016544A">
        <w:t xml:space="preserve">The </w:t>
      </w:r>
      <w:r w:rsidRPr="009B1EEE">
        <w:rPr>
          <w:i/>
        </w:rPr>
        <w:t>National Measurement Act 1960</w:t>
      </w:r>
      <w:r w:rsidRPr="0016544A">
        <w:t xml:space="preserve"> (</w:t>
      </w:r>
      <w:r w:rsidR="00AB6C6D" w:rsidRPr="0016544A">
        <w:t>the Act)</w:t>
      </w:r>
      <w:r w:rsidR="009A0959" w:rsidRPr="0016544A">
        <w:t>, Part IV (Using measuring instruments for trade) and Part V (General provisions on using measurement in trade)</w:t>
      </w:r>
    </w:p>
    <w:p w14:paraId="2DCC93A5" w14:textId="28A891C3" w:rsidR="00C07A72" w:rsidRPr="0016544A" w:rsidRDefault="00C07A72" w:rsidP="009B1EEE">
      <w:pPr>
        <w:pStyle w:val="ListParagraph"/>
        <w:numPr>
          <w:ilvl w:val="0"/>
          <w:numId w:val="20"/>
        </w:numPr>
      </w:pPr>
      <w:r w:rsidRPr="0016544A">
        <w:t xml:space="preserve">The </w:t>
      </w:r>
      <w:r w:rsidRPr="009B1EEE">
        <w:rPr>
          <w:i/>
        </w:rPr>
        <w:t>National Measurement Regulations 1999</w:t>
      </w:r>
      <w:r w:rsidR="00AB6C6D" w:rsidRPr="0016544A">
        <w:t xml:space="preserve"> (NMR)</w:t>
      </w:r>
    </w:p>
    <w:p w14:paraId="5A59E8B6" w14:textId="0FC12EFF" w:rsidR="00C07A72" w:rsidRPr="009B1EEE" w:rsidRDefault="00C07A72" w:rsidP="009B1EEE">
      <w:pPr>
        <w:pStyle w:val="ListParagraph"/>
        <w:numPr>
          <w:ilvl w:val="0"/>
          <w:numId w:val="20"/>
        </w:numPr>
        <w:rPr>
          <w:szCs w:val="20"/>
        </w:rPr>
      </w:pPr>
      <w:r w:rsidRPr="009B1EEE">
        <w:rPr>
          <w:szCs w:val="20"/>
        </w:rPr>
        <w:t xml:space="preserve">The </w:t>
      </w:r>
      <w:r w:rsidRPr="009B1EEE">
        <w:rPr>
          <w:i/>
          <w:szCs w:val="20"/>
        </w:rPr>
        <w:t>National Trade Measurement Regulations 2009</w:t>
      </w:r>
      <w:r w:rsidR="00AB6C6D" w:rsidRPr="009B1EEE">
        <w:rPr>
          <w:szCs w:val="20"/>
        </w:rPr>
        <w:t xml:space="preserve"> (NTMR)</w:t>
      </w:r>
      <w:r w:rsidR="00D02497">
        <w:rPr>
          <w:szCs w:val="20"/>
        </w:rPr>
        <w:t>.</w:t>
      </w:r>
    </w:p>
    <w:p w14:paraId="4103C8E5" w14:textId="5E29FCB8" w:rsidR="009A0959" w:rsidRPr="0016544A" w:rsidRDefault="009A0959" w:rsidP="009B1EEE">
      <w:r w:rsidRPr="0016544A">
        <w:t xml:space="preserve">This paper </w:t>
      </w:r>
      <w:r>
        <w:t>covers: establishing reliability of measuring</w:t>
      </w:r>
      <w:r w:rsidR="00D02497">
        <w:t>;</w:t>
      </w:r>
      <w:r>
        <w:t xml:space="preserve"> approval for use</w:t>
      </w:r>
      <w:r w:rsidR="00D02497">
        <w:t>;</w:t>
      </w:r>
      <w:r>
        <w:t xml:space="preserve"> verification</w:t>
      </w:r>
      <w:r w:rsidR="00D02497">
        <w:t>;</w:t>
      </w:r>
      <w:r>
        <w:t xml:space="preserve"> certification</w:t>
      </w:r>
      <w:r w:rsidR="00D02497">
        <w:t>;</w:t>
      </w:r>
      <w:r>
        <w:t xml:space="preserve"> and accommodating flexibility for new measuring instrument technology. </w:t>
      </w:r>
    </w:p>
    <w:p w14:paraId="688D281D" w14:textId="70458351" w:rsidR="00817C56" w:rsidRDefault="00C07A72" w:rsidP="009B1EEE">
      <w:pPr>
        <w:rPr>
          <w:rFonts w:ascii="Arial" w:hAnsi="Arial" w:cs="Arial"/>
        </w:rPr>
      </w:pPr>
      <w:r>
        <w:t>For additional information on other discussion papers, refer to</w:t>
      </w:r>
      <w:r w:rsidRPr="00754B24">
        <w:t xml:space="preserve"> the </w:t>
      </w:r>
      <w:hyperlink r:id="rId18" w:history="1">
        <w:r w:rsidRPr="00655BF4">
          <w:rPr>
            <w:rStyle w:val="Hyperlink"/>
            <w:i/>
          </w:rPr>
          <w:t>Guide to the Discussion Papers</w:t>
        </w:r>
      </w:hyperlink>
      <w:r w:rsidRPr="00655BF4">
        <w:rPr>
          <w:i/>
        </w:rPr>
        <w:t>.</w:t>
      </w:r>
      <w:r w:rsidR="009A0959" w:rsidRPr="00CC755C" w:rsidDel="009A0959">
        <w:rPr>
          <w:rFonts w:ascii="Arial" w:eastAsia="Arial" w:hAnsi="Arial" w:cs="Times New Roman"/>
        </w:rPr>
        <w:t xml:space="preserve"> </w:t>
      </w:r>
      <w:r w:rsidR="00817C56">
        <w:rPr>
          <w:rFonts w:ascii="Arial" w:hAnsi="Arial" w:cs="Arial"/>
        </w:rPr>
        <w:br w:type="page"/>
      </w:r>
    </w:p>
    <w:p w14:paraId="688D281E" w14:textId="431DFABE" w:rsidR="00196A5D" w:rsidRPr="00135CAE" w:rsidRDefault="0050101A" w:rsidP="00AE5115">
      <w:pPr>
        <w:pStyle w:val="Heading1"/>
        <w:numPr>
          <w:ilvl w:val="0"/>
          <w:numId w:val="52"/>
        </w:numPr>
      </w:pPr>
      <w:bookmarkStart w:id="12" w:name="_Toc532223726"/>
      <w:bookmarkStart w:id="13" w:name="_Toc532394046"/>
      <w:bookmarkStart w:id="14" w:name="_Toc3459031"/>
      <w:bookmarkStart w:id="15" w:name="_Toc536626929"/>
      <w:r w:rsidRPr="00B860FA">
        <w:lastRenderedPageBreak/>
        <w:t>M</w:t>
      </w:r>
      <w:r w:rsidR="00F153EB" w:rsidRPr="00B860FA">
        <w:t>easuring Instruments</w:t>
      </w:r>
      <w:bookmarkEnd w:id="12"/>
      <w:bookmarkEnd w:id="13"/>
      <w:bookmarkEnd w:id="14"/>
      <w:r w:rsidR="00F153EB" w:rsidRPr="00135CAE">
        <w:t xml:space="preserve"> </w:t>
      </w:r>
      <w:bookmarkEnd w:id="15"/>
    </w:p>
    <w:p w14:paraId="688D281F" w14:textId="77777777" w:rsidR="00875C13" w:rsidRPr="00A312C3" w:rsidRDefault="00F26C8C" w:rsidP="008823F5">
      <w:r>
        <w:t>Section 3 of the Act defines a</w:t>
      </w:r>
      <w:r w:rsidR="00875C13">
        <w:t xml:space="preserve"> </w:t>
      </w:r>
      <w:r w:rsidR="00875C13" w:rsidRPr="0030755B">
        <w:rPr>
          <w:b/>
        </w:rPr>
        <w:t>measuring instrument</w:t>
      </w:r>
      <w:r w:rsidR="00875C13">
        <w:t xml:space="preserve"> as</w:t>
      </w:r>
      <w:r w:rsidR="00875C13" w:rsidRPr="00A312C3">
        <w:t>:</w:t>
      </w:r>
    </w:p>
    <w:p w14:paraId="688D2820" w14:textId="77777777" w:rsidR="00875C13" w:rsidRDefault="00875C13" w:rsidP="008823F5">
      <w:r w:rsidRPr="00F75785">
        <w:rPr>
          <w:i/>
        </w:rPr>
        <w:t>A thing by means of which a measurement may be made or a component of such a thing</w:t>
      </w:r>
      <w:r w:rsidRPr="00FD59CA">
        <w:t>.</w:t>
      </w:r>
    </w:p>
    <w:p w14:paraId="688D2821" w14:textId="72BCCBC3" w:rsidR="006147D5" w:rsidRDefault="00875C13" w:rsidP="008823F5">
      <w:r>
        <w:t>This definition means that</w:t>
      </w:r>
      <w:r w:rsidRPr="0017421A">
        <w:t xml:space="preserve"> instrument</w:t>
      </w:r>
      <w:r w:rsidR="00C536DB">
        <w:t>s</w:t>
      </w:r>
      <w:r w:rsidRPr="0017421A">
        <w:t xml:space="preserve"> </w:t>
      </w:r>
      <w:r w:rsidR="007526B3">
        <w:t xml:space="preserve">as </w:t>
      </w:r>
      <w:r w:rsidRPr="00A312C3">
        <w:t xml:space="preserve">simple as a </w:t>
      </w:r>
      <w:r>
        <w:t xml:space="preserve">tape measure or a </w:t>
      </w:r>
      <w:r w:rsidRPr="00A312C3">
        <w:t>ruler through to something as large and complex as an LPG</w:t>
      </w:r>
      <w:r>
        <w:t xml:space="preserve"> bulk flow-metering system are</w:t>
      </w:r>
      <w:r w:rsidRPr="00A312C3">
        <w:t xml:space="preserve"> </w:t>
      </w:r>
      <w:r w:rsidR="00BA5027">
        <w:t xml:space="preserve">all </w:t>
      </w:r>
      <w:r w:rsidR="00D766D6">
        <w:t>considered to be measuring instruments for the purposes of the Act</w:t>
      </w:r>
      <w:r w:rsidRPr="00A312C3">
        <w:t>.</w:t>
      </w:r>
      <w:r w:rsidR="00BE6F1F">
        <w:t xml:space="preserve"> </w:t>
      </w:r>
      <w:r w:rsidR="00AC6061">
        <w:t>Measuring instruments that reliably produce accurate and reproducible measurement results help to sustain confidence in the measurement system. Australia’s measurement laws provide a legislated framework for demonstrating the reliability of certain measuring instruments, including those used for trade</w:t>
      </w:r>
      <w:r w:rsidR="00FD68EE">
        <w:t>.</w:t>
      </w:r>
    </w:p>
    <w:p w14:paraId="363D4322" w14:textId="11A370C1" w:rsidR="002030FC" w:rsidRPr="00B860FA" w:rsidRDefault="002030FC" w:rsidP="00135CAE">
      <w:pPr>
        <w:pStyle w:val="Heading2"/>
        <w:numPr>
          <w:ilvl w:val="1"/>
          <w:numId w:val="32"/>
        </w:numPr>
      </w:pPr>
      <w:bookmarkStart w:id="16" w:name="_Toc3459032"/>
      <w:r w:rsidRPr="00B860FA">
        <w:t xml:space="preserve">Current </w:t>
      </w:r>
      <w:r w:rsidR="00D417BD" w:rsidRPr="00B860FA">
        <w:t>a</w:t>
      </w:r>
      <w:r w:rsidRPr="00B860FA">
        <w:t>pproach</w:t>
      </w:r>
      <w:bookmarkEnd w:id="16"/>
    </w:p>
    <w:p w14:paraId="688D2822" w14:textId="55475AEF" w:rsidR="00B440C5" w:rsidRDefault="003569B7" w:rsidP="008823F5">
      <w:r>
        <w:t xml:space="preserve">The legislation does not intend to capture all measuring </w:t>
      </w:r>
      <w:r w:rsidR="002668A1">
        <w:t>instruments that</w:t>
      </w:r>
      <w:r>
        <w:t xml:space="preserve"> could </w:t>
      </w:r>
      <w:r w:rsidR="00AE77BE">
        <w:t>conceivably</w:t>
      </w:r>
      <w:r>
        <w:t xml:space="preserve"> fall within the definition of a measuring instrument</w:t>
      </w:r>
      <w:r w:rsidR="00AE77BE">
        <w:t xml:space="preserve">. </w:t>
      </w:r>
      <w:r w:rsidR="00615FC7">
        <w:t>Instead,</w:t>
      </w:r>
      <w:r>
        <w:t xml:space="preserve"> it </w:t>
      </w:r>
      <w:r w:rsidR="00AE77BE">
        <w:t xml:space="preserve">covers and </w:t>
      </w:r>
      <w:r w:rsidR="00B440C5">
        <w:t xml:space="preserve">makes a </w:t>
      </w:r>
      <w:r w:rsidR="006D472B">
        <w:t xml:space="preserve">distinction </w:t>
      </w:r>
      <w:r w:rsidR="006D472B" w:rsidRPr="00A312C3">
        <w:t>between measuring instruments used for trade</w:t>
      </w:r>
      <w:r w:rsidR="006D472B">
        <w:t xml:space="preserve"> </w:t>
      </w:r>
      <w:r w:rsidR="006D472B" w:rsidRPr="00A312C3">
        <w:t xml:space="preserve">and those used for </w:t>
      </w:r>
      <w:r w:rsidR="00240240">
        <w:t>other legal</w:t>
      </w:r>
      <w:r w:rsidR="00EB3239">
        <w:t xml:space="preserve"> purposes.</w:t>
      </w:r>
      <w:r>
        <w:t xml:space="preserve"> </w:t>
      </w:r>
      <w:r w:rsidR="002D2647">
        <w:t>The legislation treats them differently.</w:t>
      </w:r>
    </w:p>
    <w:p w14:paraId="688D2823" w14:textId="1D431A81" w:rsidR="00875C13" w:rsidRPr="004B4272" w:rsidRDefault="00B440C5" w:rsidP="00135CAE">
      <w:pPr>
        <w:pStyle w:val="Heading3"/>
        <w:ind w:left="284"/>
      </w:pPr>
      <w:r w:rsidRPr="00135CAE">
        <w:t>Measuring instruments used for trade</w:t>
      </w:r>
      <w:r w:rsidR="00875C13" w:rsidRPr="00BA7C58">
        <w:t>:</w:t>
      </w:r>
    </w:p>
    <w:p w14:paraId="688D2824" w14:textId="77777777" w:rsidR="00EB3239" w:rsidRDefault="00EB3239" w:rsidP="008823F5">
      <w:pPr>
        <w:ind w:left="360"/>
      </w:pPr>
      <w:r w:rsidRPr="00875C13">
        <w:t>A measuring</w:t>
      </w:r>
      <w:r w:rsidRPr="0017421A">
        <w:t xml:space="preserve"> instrument is considered ‘in use for trade’ under </w:t>
      </w:r>
      <w:r>
        <w:t>s</w:t>
      </w:r>
      <w:r w:rsidRPr="0017421A">
        <w:t xml:space="preserve">ection 3 of the Act </w:t>
      </w:r>
      <w:r>
        <w:t>when it is used for determining:</w:t>
      </w:r>
    </w:p>
    <w:p w14:paraId="688D2825" w14:textId="0BD0F47E" w:rsidR="00EB3239" w:rsidRPr="00F75785" w:rsidRDefault="00EB3239" w:rsidP="00975F8B">
      <w:pPr>
        <w:pStyle w:val="ListParagraph"/>
        <w:numPr>
          <w:ilvl w:val="0"/>
          <w:numId w:val="4"/>
        </w:numPr>
        <w:ind w:left="1080"/>
      </w:pPr>
      <w:r w:rsidRPr="00FD59CA">
        <w:t>the consideration in a trade transaction</w:t>
      </w:r>
    </w:p>
    <w:p w14:paraId="688D2826" w14:textId="6A402A7C" w:rsidR="00EB3239" w:rsidRDefault="00EB3239" w:rsidP="00975F8B">
      <w:pPr>
        <w:pStyle w:val="ListParagraph"/>
        <w:numPr>
          <w:ilvl w:val="0"/>
          <w:numId w:val="4"/>
        </w:numPr>
        <w:ind w:left="1080"/>
      </w:pPr>
      <w:r w:rsidRPr="00FD59CA">
        <w:t>the amount of a tax</w:t>
      </w:r>
      <w:r w:rsidR="00B7313B">
        <w:t>,</w:t>
      </w:r>
      <w:r w:rsidRPr="00FD59CA">
        <w:t xml:space="preserve"> </w:t>
      </w:r>
      <w:r w:rsidR="00B440C5">
        <w:t>or</w:t>
      </w:r>
    </w:p>
    <w:p w14:paraId="688D2827" w14:textId="40C29E77" w:rsidR="00EB3239" w:rsidRPr="00F75785" w:rsidRDefault="00EB3239" w:rsidP="00975F8B">
      <w:pPr>
        <w:pStyle w:val="ListParagraph"/>
        <w:numPr>
          <w:ilvl w:val="0"/>
          <w:numId w:val="4"/>
        </w:numPr>
        <w:ind w:left="1080"/>
      </w:pPr>
      <w:r w:rsidRPr="00FD59CA">
        <w:t>the amount of a tax credit/adjustment where specified in the measurement regulations</w:t>
      </w:r>
      <w:r>
        <w:t>.</w:t>
      </w:r>
    </w:p>
    <w:p w14:paraId="688D2828" w14:textId="77777777" w:rsidR="00EB3239" w:rsidRDefault="00EB3239" w:rsidP="008823F5">
      <w:pPr>
        <w:ind w:left="360"/>
      </w:pPr>
      <w:r w:rsidRPr="00FD59CA">
        <w:t>An example</w:t>
      </w:r>
      <w:r w:rsidRPr="00CF1F2C">
        <w:t xml:space="preserve"> </w:t>
      </w:r>
      <w:r w:rsidRPr="00A312C3">
        <w:t>of a measuring instrument us</w:t>
      </w:r>
      <w:r>
        <w:t>ed for trade purposes is a</w:t>
      </w:r>
      <w:r w:rsidRPr="00A312C3">
        <w:t xml:space="preserve"> public weighbridge</w:t>
      </w:r>
      <w:r>
        <w:t>.</w:t>
      </w:r>
    </w:p>
    <w:p w14:paraId="688D2829" w14:textId="71395375" w:rsidR="00875C13" w:rsidRPr="00B77829" w:rsidRDefault="0061401F" w:rsidP="00135CAE">
      <w:pPr>
        <w:pStyle w:val="Heading3"/>
        <w:ind w:left="284"/>
      </w:pPr>
      <w:r w:rsidRPr="00BA7C58">
        <w:t xml:space="preserve">Measuring instruments used for </w:t>
      </w:r>
      <w:r w:rsidR="00240240" w:rsidRPr="004B4272">
        <w:t xml:space="preserve">any other </w:t>
      </w:r>
      <w:r w:rsidRPr="00932771">
        <w:t>legal purpose</w:t>
      </w:r>
      <w:r w:rsidR="00875C13" w:rsidRPr="003F3B45">
        <w:t xml:space="preserve">: </w:t>
      </w:r>
    </w:p>
    <w:p w14:paraId="688D282A" w14:textId="21004FDE" w:rsidR="007F4BFF" w:rsidRPr="0085350A" w:rsidRDefault="007F4BFF" w:rsidP="008823F5">
      <w:pPr>
        <w:ind w:left="360"/>
      </w:pPr>
      <w:r w:rsidRPr="0085350A">
        <w:t xml:space="preserve">Section 3 of the </w:t>
      </w:r>
      <w:r w:rsidRPr="0085350A">
        <w:rPr>
          <w:i/>
        </w:rPr>
        <w:t>National Measurement Regulations 1999</w:t>
      </w:r>
      <w:r w:rsidRPr="0085350A">
        <w:t xml:space="preserve"> (NMR) defines a legal measuring instrument </w:t>
      </w:r>
      <w:r w:rsidR="004F1DCB">
        <w:t xml:space="preserve">(that is, one used </w:t>
      </w:r>
      <w:r w:rsidR="0085350A" w:rsidRPr="0085350A">
        <w:t>for a legal purpose</w:t>
      </w:r>
      <w:r w:rsidRPr="0085350A">
        <w:t xml:space="preserve"> </w:t>
      </w:r>
      <w:r w:rsidR="004F1DCB">
        <w:t xml:space="preserve">other than trade) </w:t>
      </w:r>
      <w:r w:rsidRPr="0085350A">
        <w:t>as one used in determining a physical quantity</w:t>
      </w:r>
      <w:r w:rsidR="00CA6F1B">
        <w:rPr>
          <w:rStyle w:val="FootnoteReference"/>
        </w:rPr>
        <w:footnoteReference w:id="2"/>
      </w:r>
      <w:r w:rsidRPr="0085350A">
        <w:t>:</w:t>
      </w:r>
      <w:r w:rsidR="00D23F7C" w:rsidRPr="00D23F7C">
        <w:rPr>
          <w:rStyle w:val="FootnoteReference"/>
        </w:rPr>
        <w:t xml:space="preserve"> </w:t>
      </w:r>
    </w:p>
    <w:p w14:paraId="688D282B" w14:textId="3E394B8B" w:rsidR="007F4BFF" w:rsidRPr="0085350A" w:rsidRDefault="007F4BFF" w:rsidP="00975F8B">
      <w:pPr>
        <w:pStyle w:val="ListParagraph"/>
        <w:numPr>
          <w:ilvl w:val="0"/>
          <w:numId w:val="5"/>
        </w:numPr>
      </w:pPr>
      <w:r w:rsidRPr="0085350A">
        <w:t>for:</w:t>
      </w:r>
    </w:p>
    <w:p w14:paraId="688D282C" w14:textId="57426254" w:rsidR="007F4BFF" w:rsidRPr="0085350A" w:rsidRDefault="007F4BFF" w:rsidP="00975F8B">
      <w:pPr>
        <w:pStyle w:val="ListParagraph"/>
        <w:numPr>
          <w:ilvl w:val="1"/>
          <w:numId w:val="6"/>
        </w:numPr>
      </w:pPr>
      <w:r w:rsidRPr="0085350A">
        <w:t>law enforcement</w:t>
      </w:r>
    </w:p>
    <w:p w14:paraId="688D282D" w14:textId="1509361D" w:rsidR="007F4BFF" w:rsidRPr="0085350A" w:rsidRDefault="007F4BFF" w:rsidP="00975F8B">
      <w:pPr>
        <w:pStyle w:val="ListParagraph"/>
        <w:numPr>
          <w:ilvl w:val="1"/>
          <w:numId w:val="6"/>
        </w:numPr>
      </w:pPr>
      <w:r w:rsidRPr="0085350A">
        <w:t>demonstrating compliance, or lack of compliance, with a law of the Commonwealth or of a State or Territory</w:t>
      </w:r>
      <w:r w:rsidR="00E97CDC">
        <w:t>,</w:t>
      </w:r>
      <w:r w:rsidRPr="0085350A">
        <w:t xml:space="preserve"> or</w:t>
      </w:r>
    </w:p>
    <w:p w14:paraId="688D282E" w14:textId="77777777" w:rsidR="007F4BFF" w:rsidRPr="0085350A" w:rsidRDefault="007F4BFF" w:rsidP="00975F8B">
      <w:pPr>
        <w:pStyle w:val="ListParagraph"/>
        <w:numPr>
          <w:ilvl w:val="0"/>
          <w:numId w:val="5"/>
        </w:numPr>
      </w:pPr>
      <w:r w:rsidRPr="0085350A">
        <w:t xml:space="preserve">that is, or may be, relevant to a proceeding in which the quantity is an issue. </w:t>
      </w:r>
    </w:p>
    <w:p w14:paraId="688D282F" w14:textId="3AAAD766" w:rsidR="007F4BFF" w:rsidRPr="007F4BFF" w:rsidRDefault="006318E3" w:rsidP="008823F5">
      <w:pPr>
        <w:ind w:left="720"/>
      </w:pPr>
      <w:r w:rsidRPr="00307BBE">
        <w:t>Measuring instruments used for any other legal purposes</w:t>
      </w:r>
      <w:r>
        <w:t xml:space="preserve"> are covered by other Commonwealth and state/territory legislation. </w:t>
      </w:r>
      <w:r w:rsidR="007F4BFF">
        <w:t xml:space="preserve">For example, </w:t>
      </w:r>
      <w:r w:rsidR="007F4BFF" w:rsidRPr="0085350A">
        <w:t xml:space="preserve">evidential breath analysers used for law enforcement </w:t>
      </w:r>
      <w:r w:rsidR="00D417BD">
        <w:t xml:space="preserve">are regulated by relevant state/territory jurisdictional laws and </w:t>
      </w:r>
      <w:r w:rsidR="007F4BFF">
        <w:t>are considered legal measuring instruments under Australia’s measurement laws</w:t>
      </w:r>
      <w:r w:rsidR="00D417BD">
        <w:t>.</w:t>
      </w:r>
    </w:p>
    <w:p w14:paraId="7662610F" w14:textId="213D1593" w:rsidR="00AC6061" w:rsidRDefault="00AC6061" w:rsidP="00F50C11">
      <w:pPr>
        <w:keepNext/>
      </w:pPr>
      <w:r>
        <w:lastRenderedPageBreak/>
        <w:t>The legislation has different mechanisms for measuring instruments used for trade and measuring instruments used for any other legal purposes. The Act:</w:t>
      </w:r>
    </w:p>
    <w:p w14:paraId="2A7A2256" w14:textId="5D3C7F1B" w:rsidR="00AC6061" w:rsidRDefault="00AC6061" w:rsidP="00135CAE">
      <w:pPr>
        <w:pStyle w:val="ListParagraph"/>
        <w:numPr>
          <w:ilvl w:val="0"/>
          <w:numId w:val="23"/>
        </w:numPr>
      </w:pPr>
      <w:r>
        <w:t>requires instruments used for trade to be pattern approved</w:t>
      </w:r>
      <w:r w:rsidRPr="001017C9">
        <w:rPr>
          <w:rStyle w:val="FootnoteReference"/>
          <w:rFonts w:cstheme="minorHAnsi"/>
          <w:sz w:val="18"/>
        </w:rPr>
        <w:footnoteReference w:id="3"/>
      </w:r>
      <w:r>
        <w:t xml:space="preserve"> (and establishes offences for breaches of this requirement), but does not similarly compel the pattern approval of measuring instruments used for other legal purposes. Other government </w:t>
      </w:r>
      <w:r w:rsidR="004D2CA4">
        <w:t>regulators</w:t>
      </w:r>
      <w:r>
        <w:t xml:space="preserve"> may require pattern approval for these instruments, but breaches of those requirements are not covered by the measurement law</w:t>
      </w:r>
      <w:r w:rsidR="00BB2320">
        <w:t>; and</w:t>
      </w:r>
    </w:p>
    <w:p w14:paraId="18E75B2A" w14:textId="2DBCC98E" w:rsidR="00BD17B2" w:rsidRDefault="00AC6061" w:rsidP="00135CAE">
      <w:pPr>
        <w:pStyle w:val="ListParagraph"/>
        <w:numPr>
          <w:ilvl w:val="0"/>
          <w:numId w:val="23"/>
        </w:numPr>
      </w:pPr>
      <w:r>
        <w:t>establishes a verification</w:t>
      </w:r>
      <w:r>
        <w:rPr>
          <w:rStyle w:val="FootnoteReference"/>
          <w:rFonts w:cstheme="minorHAnsi"/>
          <w:sz w:val="20"/>
        </w:rPr>
        <w:footnoteReference w:id="4"/>
      </w:r>
      <w:r>
        <w:t xml:space="preserve"> process to ensure accuracy in measuring instruments used for trade and a certification</w:t>
      </w:r>
      <w:r>
        <w:rPr>
          <w:rStyle w:val="FootnoteReference"/>
          <w:rFonts w:cstheme="minorHAnsi"/>
          <w:sz w:val="20"/>
        </w:rPr>
        <w:footnoteReference w:id="5"/>
      </w:r>
      <w:r>
        <w:t xml:space="preserve"> process to ensure accuracy in measuring instruments used for other legal purposes</w:t>
      </w:r>
      <w:r w:rsidR="00CA6F1B">
        <w:rPr>
          <w:rStyle w:val="FootnoteReference"/>
          <w:rFonts w:cstheme="minorHAnsi"/>
          <w:sz w:val="20"/>
        </w:rPr>
        <w:footnoteReference w:id="6"/>
      </w:r>
      <w:r>
        <w:t>.</w:t>
      </w:r>
    </w:p>
    <w:p w14:paraId="688D2834" w14:textId="530779E4" w:rsidR="00BE6F1F" w:rsidRPr="00240240" w:rsidRDefault="00567303" w:rsidP="008823F5">
      <w:pPr>
        <w:rPr>
          <w:rFonts w:cstheme="minorHAnsi"/>
          <w:sz w:val="24"/>
          <w:highlight w:val="yellow"/>
        </w:rPr>
      </w:pPr>
      <w:r w:rsidRPr="0061401F">
        <w:t xml:space="preserve">Some measuring instruments are exempt from </w:t>
      </w:r>
      <w:r w:rsidR="00D179EA">
        <w:t xml:space="preserve">the </w:t>
      </w:r>
      <w:r w:rsidRPr="0061401F">
        <w:t>national</w:t>
      </w:r>
      <w:r w:rsidR="0061360D">
        <w:t xml:space="preserve"> measurement framework</w:t>
      </w:r>
      <w:r w:rsidR="00CA6F1B" w:rsidRPr="00D85EC0">
        <w:rPr>
          <w:rStyle w:val="FootnoteReference"/>
          <w:rFonts w:cstheme="minorHAnsi"/>
          <w:sz w:val="20"/>
        </w:rPr>
        <w:footnoteReference w:id="7"/>
      </w:r>
      <w:r w:rsidR="00F50C11">
        <w:t>.</w:t>
      </w:r>
      <w:r w:rsidR="007D2B36">
        <w:t xml:space="preserve"> </w:t>
      </w:r>
      <w:r w:rsidR="007D2B36" w:rsidRPr="00BF02C7">
        <w:rPr>
          <w:rFonts w:cs="Gotham Narrow Light"/>
          <w:color w:val="000000"/>
        </w:rPr>
        <w:t xml:space="preserve">Under Australia’s </w:t>
      </w:r>
      <w:r w:rsidR="0085350A" w:rsidRPr="00BF02C7">
        <w:rPr>
          <w:rFonts w:cs="Gotham Narrow Light"/>
          <w:color w:val="000000"/>
        </w:rPr>
        <w:t>measurement</w:t>
      </w:r>
      <w:r w:rsidR="007D2B36" w:rsidRPr="00BF02C7">
        <w:rPr>
          <w:rFonts w:cs="Gotham Narrow Light"/>
          <w:color w:val="000000"/>
        </w:rPr>
        <w:t xml:space="preserve"> laws there are exemptions for</w:t>
      </w:r>
      <w:r w:rsidR="00CA6F1B">
        <w:rPr>
          <w:rStyle w:val="FootnoteReference"/>
          <w:rFonts w:cs="Gotham Narrow Light"/>
          <w:color w:val="000000"/>
          <w:sz w:val="20"/>
          <w:szCs w:val="20"/>
        </w:rPr>
        <w:footnoteReference w:id="8"/>
      </w:r>
      <w:r w:rsidR="00F50C11">
        <w:rPr>
          <w:rFonts w:cs="Gotham Narrow Light"/>
          <w:color w:val="000000"/>
        </w:rPr>
        <w:t>:</w:t>
      </w:r>
      <w:r w:rsidR="007441AA" w:rsidRPr="007441AA">
        <w:rPr>
          <w:rStyle w:val="FootnoteReference"/>
          <w:rFonts w:cs="Gotham Narrow Light"/>
          <w:color w:val="000000"/>
          <w:sz w:val="20"/>
          <w:szCs w:val="20"/>
        </w:rPr>
        <w:t xml:space="preserve"> </w:t>
      </w:r>
    </w:p>
    <w:p w14:paraId="688D2835" w14:textId="45BFEB14" w:rsidR="007D2B36" w:rsidRPr="008823F5" w:rsidRDefault="007D2B36" w:rsidP="00975F8B">
      <w:pPr>
        <w:pStyle w:val="ListParagraph"/>
        <w:numPr>
          <w:ilvl w:val="0"/>
          <w:numId w:val="8"/>
        </w:numPr>
        <w:rPr>
          <w:rFonts w:cstheme="minorHAnsi"/>
          <w:sz w:val="24"/>
        </w:rPr>
      </w:pPr>
      <w:r w:rsidRPr="00BF02C7">
        <w:t>automated packing machines</w:t>
      </w:r>
    </w:p>
    <w:p w14:paraId="647337AF" w14:textId="3B0E5448" w:rsidR="00B302AB" w:rsidRPr="008823F5" w:rsidRDefault="007D2B36" w:rsidP="00975F8B">
      <w:pPr>
        <w:pStyle w:val="ListParagraph"/>
        <w:numPr>
          <w:ilvl w:val="0"/>
          <w:numId w:val="8"/>
        </w:numPr>
        <w:rPr>
          <w:rFonts w:cstheme="minorHAnsi"/>
          <w:sz w:val="24"/>
        </w:rPr>
      </w:pPr>
      <w:r w:rsidRPr="00BF02C7">
        <w:t>instruments used to determine</w:t>
      </w:r>
      <w:r w:rsidR="00B302AB">
        <w:t>:</w:t>
      </w:r>
      <w:r w:rsidRPr="00BF02C7">
        <w:t xml:space="preserve"> </w:t>
      </w:r>
    </w:p>
    <w:p w14:paraId="688D2836" w14:textId="2FC41BB5" w:rsidR="007D2B36" w:rsidRPr="008823F5" w:rsidRDefault="00B302AB" w:rsidP="00975F8B">
      <w:pPr>
        <w:pStyle w:val="ListParagraph"/>
        <w:numPr>
          <w:ilvl w:val="1"/>
          <w:numId w:val="8"/>
        </w:numPr>
        <w:rPr>
          <w:rFonts w:cstheme="minorHAnsi"/>
          <w:sz w:val="24"/>
        </w:rPr>
      </w:pPr>
      <w:r w:rsidRPr="00BF02C7">
        <w:t xml:space="preserve">charges relating to </w:t>
      </w:r>
      <w:r w:rsidR="007877AB">
        <w:t>telephone</w:t>
      </w:r>
      <w:r w:rsidR="007877AB" w:rsidRPr="00BF02C7">
        <w:t xml:space="preserve"> </w:t>
      </w:r>
      <w:r w:rsidR="007D2B36" w:rsidRPr="00BF02C7">
        <w:t xml:space="preserve">calls or internet services </w:t>
      </w:r>
    </w:p>
    <w:p w14:paraId="4A37CF52" w14:textId="2D984A97" w:rsidR="00B302AB" w:rsidRPr="008823F5" w:rsidRDefault="007D2B36" w:rsidP="00975F8B">
      <w:pPr>
        <w:pStyle w:val="ListParagraph"/>
        <w:numPr>
          <w:ilvl w:val="1"/>
          <w:numId w:val="8"/>
        </w:numPr>
        <w:rPr>
          <w:rFonts w:cstheme="minorHAnsi"/>
          <w:sz w:val="24"/>
        </w:rPr>
      </w:pPr>
      <w:r w:rsidRPr="00BF02C7">
        <w:t xml:space="preserve">taxi fares </w:t>
      </w:r>
    </w:p>
    <w:p w14:paraId="688D2837" w14:textId="338910EB" w:rsidR="007D2B36" w:rsidRPr="008823F5" w:rsidRDefault="00B302AB" w:rsidP="00975F8B">
      <w:pPr>
        <w:pStyle w:val="ListParagraph"/>
        <w:numPr>
          <w:ilvl w:val="1"/>
          <w:numId w:val="8"/>
        </w:numPr>
        <w:rPr>
          <w:rFonts w:cstheme="minorHAnsi"/>
          <w:sz w:val="24"/>
        </w:rPr>
      </w:pPr>
      <w:r>
        <w:t xml:space="preserve">charges for </w:t>
      </w:r>
      <w:r w:rsidR="007D2B36" w:rsidRPr="00BF02C7">
        <w:t xml:space="preserve">hiring a motor vehicle </w:t>
      </w:r>
    </w:p>
    <w:p w14:paraId="688D2838" w14:textId="1167C885" w:rsidR="007D2B36" w:rsidRPr="008823F5" w:rsidRDefault="007D2B36" w:rsidP="00975F8B">
      <w:pPr>
        <w:pStyle w:val="ListParagraph"/>
        <w:numPr>
          <w:ilvl w:val="1"/>
          <w:numId w:val="8"/>
        </w:numPr>
        <w:rPr>
          <w:rFonts w:cstheme="minorHAnsi"/>
          <w:sz w:val="24"/>
        </w:rPr>
      </w:pPr>
      <w:r w:rsidRPr="00BF02C7">
        <w:t xml:space="preserve">tyre pressure </w:t>
      </w:r>
    </w:p>
    <w:p w14:paraId="688D2839" w14:textId="215AE90F" w:rsidR="007D2B36" w:rsidRPr="008823F5" w:rsidRDefault="00B302AB" w:rsidP="00975F8B">
      <w:pPr>
        <w:pStyle w:val="ListParagraph"/>
        <w:numPr>
          <w:ilvl w:val="1"/>
          <w:numId w:val="8"/>
        </w:numPr>
        <w:rPr>
          <w:rFonts w:cstheme="minorHAnsi"/>
          <w:sz w:val="24"/>
        </w:rPr>
      </w:pPr>
      <w:r>
        <w:t>the expiration of time, or calculation of time</w:t>
      </w:r>
      <w:r w:rsidR="00303AB4">
        <w:t>,</w:t>
      </w:r>
      <w:r w:rsidR="006566C0">
        <w:t xml:space="preserve"> for</w:t>
      </w:r>
      <w:r>
        <w:t xml:space="preserve"> </w:t>
      </w:r>
      <w:r w:rsidR="007D2B36" w:rsidRPr="00BF02C7">
        <w:t>parking</w:t>
      </w:r>
      <w:r>
        <w:t xml:space="preserve"> a vehicle</w:t>
      </w:r>
    </w:p>
    <w:p w14:paraId="688D283A" w14:textId="6EAA3A46" w:rsidR="008F4B1B" w:rsidRPr="008823F5" w:rsidRDefault="007D2B36" w:rsidP="00975F8B">
      <w:pPr>
        <w:pStyle w:val="ListParagraph"/>
        <w:numPr>
          <w:ilvl w:val="0"/>
          <w:numId w:val="8"/>
        </w:numPr>
        <w:rPr>
          <w:rFonts w:cstheme="minorHAnsi"/>
          <w:sz w:val="24"/>
        </w:rPr>
      </w:pPr>
      <w:r w:rsidRPr="00331EA1">
        <w:t>instruments to measure greenhouse gas emissions</w:t>
      </w:r>
      <w:r w:rsidR="00685105">
        <w:t>,</w:t>
      </w:r>
      <w:r w:rsidR="008F4B1B" w:rsidRPr="008823F5">
        <w:rPr>
          <w:rFonts w:cstheme="minorHAnsi"/>
        </w:rPr>
        <w:t xml:space="preserve"> and </w:t>
      </w:r>
    </w:p>
    <w:p w14:paraId="688D283B" w14:textId="05A8D95A" w:rsidR="006D472B" w:rsidRDefault="00DB6990" w:rsidP="00975F8B">
      <w:pPr>
        <w:pStyle w:val="ListParagraph"/>
        <w:numPr>
          <w:ilvl w:val="0"/>
          <w:numId w:val="8"/>
        </w:numPr>
      </w:pPr>
      <w:r>
        <w:t>c</w:t>
      </w:r>
      <w:r w:rsidR="00240240" w:rsidRPr="0085350A">
        <w:t>ertain</w:t>
      </w:r>
      <w:r w:rsidR="008F4B1B" w:rsidRPr="0085350A">
        <w:t xml:space="preserve"> types of gas</w:t>
      </w:r>
      <w:r w:rsidR="008D55D6">
        <w:t>, water</w:t>
      </w:r>
      <w:r w:rsidR="008F4B1B" w:rsidRPr="0085350A">
        <w:t xml:space="preserve"> and electricity meters</w:t>
      </w:r>
      <w:r>
        <w:t>.</w:t>
      </w:r>
    </w:p>
    <w:p w14:paraId="330FA0A0" w14:textId="79DDD686" w:rsidR="00460F5D" w:rsidRPr="00932771" w:rsidRDefault="00460F5D" w:rsidP="00135CAE">
      <w:pPr>
        <w:pStyle w:val="Heading3"/>
      </w:pPr>
      <w:r w:rsidRPr="00BA7C58">
        <w:t>Questions</w:t>
      </w:r>
      <w:r w:rsidR="0086027B" w:rsidRPr="004B4272">
        <w:t>:</w:t>
      </w:r>
    </w:p>
    <w:p w14:paraId="608CBA20" w14:textId="3BE08C08" w:rsidR="00460F5D" w:rsidRPr="00BF02C7" w:rsidRDefault="00460F5D" w:rsidP="00135CAE">
      <w:pPr>
        <w:pStyle w:val="ListParagraph"/>
        <w:numPr>
          <w:ilvl w:val="2"/>
          <w:numId w:val="26"/>
        </w:numPr>
      </w:pPr>
      <w:r w:rsidRPr="00BF02C7">
        <w:t>What costs</w:t>
      </w:r>
      <w:r w:rsidR="00247B1B">
        <w:t>/benefits</w:t>
      </w:r>
      <w:r w:rsidRPr="00BF02C7">
        <w:t xml:space="preserve"> are incurred by </w:t>
      </w:r>
      <w:r>
        <w:t xml:space="preserve">you or </w:t>
      </w:r>
      <w:r w:rsidRPr="00BF02C7">
        <w:t xml:space="preserve">your business as a result of the current </w:t>
      </w:r>
      <w:r>
        <w:t>regulation of measuring instruments in Australia</w:t>
      </w:r>
      <w:r w:rsidRPr="00BF02C7">
        <w:t>?</w:t>
      </w:r>
    </w:p>
    <w:p w14:paraId="688D283C" w14:textId="4566EA2C" w:rsidR="00370B0C" w:rsidRPr="00FD59CA" w:rsidRDefault="0020517C" w:rsidP="00135CAE">
      <w:pPr>
        <w:pStyle w:val="Heading2"/>
        <w:numPr>
          <w:ilvl w:val="1"/>
          <w:numId w:val="32"/>
        </w:numPr>
      </w:pPr>
      <w:bookmarkStart w:id="17" w:name="_Toc532223728"/>
      <w:bookmarkStart w:id="18" w:name="_Toc532394047"/>
      <w:bookmarkStart w:id="19" w:name="_Toc536626930"/>
      <w:bookmarkStart w:id="20" w:name="_Toc3459033"/>
      <w:r>
        <w:t>R</w:t>
      </w:r>
      <w:r w:rsidR="009C3C12" w:rsidRPr="00FD59CA">
        <w:t>eliability</w:t>
      </w:r>
      <w:bookmarkEnd w:id="17"/>
      <w:bookmarkEnd w:id="18"/>
      <w:bookmarkEnd w:id="19"/>
      <w:bookmarkEnd w:id="20"/>
    </w:p>
    <w:p w14:paraId="688D283D" w14:textId="460587FA" w:rsidR="007F4BFF" w:rsidRDefault="007F4BFF" w:rsidP="008823F5">
      <w:r>
        <w:t xml:space="preserve">To </w:t>
      </w:r>
      <w:r w:rsidR="00EC3700">
        <w:t xml:space="preserve">provide the user with </w:t>
      </w:r>
      <w:r w:rsidRPr="00EC3700">
        <w:rPr>
          <w:szCs w:val="20"/>
        </w:rPr>
        <w:t>confidence</w:t>
      </w:r>
      <w:r w:rsidR="00EC3700" w:rsidRPr="00EC3700">
        <w:rPr>
          <w:szCs w:val="20"/>
        </w:rPr>
        <w:t xml:space="preserve"> </w:t>
      </w:r>
      <w:r w:rsidR="00EC3700" w:rsidRPr="00E21474">
        <w:rPr>
          <w:szCs w:val="20"/>
        </w:rPr>
        <w:t>in the validity of a measurement</w:t>
      </w:r>
      <w:r>
        <w:t>, a</w:t>
      </w:r>
      <w:r w:rsidRPr="00A312C3">
        <w:t xml:space="preserve"> measuring instrumen</w:t>
      </w:r>
      <w:r>
        <w:t>t intended for trade purposes</w:t>
      </w:r>
      <w:r w:rsidRPr="00A312C3">
        <w:t xml:space="preserve"> must meet pattern approval and verificati</w:t>
      </w:r>
      <w:r>
        <w:t>on requirements before use</w:t>
      </w:r>
      <w:r w:rsidRPr="00A312C3">
        <w:t xml:space="preserve"> in Australia</w:t>
      </w:r>
      <w:r w:rsidR="006B6E62">
        <w:t>.</w:t>
      </w:r>
    </w:p>
    <w:p w14:paraId="199BFCA7" w14:textId="3C2EA1E8" w:rsidR="00D417BD" w:rsidRDefault="007F4BFF" w:rsidP="00975F8B">
      <w:pPr>
        <w:pStyle w:val="ListParagraph"/>
        <w:numPr>
          <w:ilvl w:val="0"/>
          <w:numId w:val="9"/>
        </w:numPr>
      </w:pPr>
      <w:r w:rsidRPr="00BF02C7">
        <w:t>Pattern approval confirms that the design of the measuring instrument meets relevant</w:t>
      </w:r>
      <w:r w:rsidR="00D417BD">
        <w:t xml:space="preserve"> </w:t>
      </w:r>
      <w:r>
        <w:t>documentary</w:t>
      </w:r>
      <w:r w:rsidRPr="00BF02C7">
        <w:t xml:space="preserve"> standards and </w:t>
      </w:r>
      <w:r w:rsidR="00DB0BDB">
        <w:t>would be expected to</w:t>
      </w:r>
      <w:r w:rsidR="00E21474">
        <w:t xml:space="preserve"> </w:t>
      </w:r>
      <w:r w:rsidRPr="00BF02C7">
        <w:t>perform as intended over a range of environmental and operating conditions.</w:t>
      </w:r>
    </w:p>
    <w:p w14:paraId="67A49365" w14:textId="0894F262" w:rsidR="00D417BD" w:rsidRDefault="00C33F91" w:rsidP="00975F8B">
      <w:pPr>
        <w:pStyle w:val="ListParagraph"/>
        <w:numPr>
          <w:ilvl w:val="0"/>
          <w:numId w:val="9"/>
        </w:numPr>
      </w:pPr>
      <w:r w:rsidRPr="00D417BD">
        <w:t xml:space="preserve">Verification checks that the measuring instrument </w:t>
      </w:r>
      <w:r w:rsidR="006262EB">
        <w:t>used for trade</w:t>
      </w:r>
      <w:r w:rsidRPr="00D417BD">
        <w:t xml:space="preserve"> is </w:t>
      </w:r>
      <w:r w:rsidR="00FF702D" w:rsidRPr="00D417BD">
        <w:t>marked with an approval number</w:t>
      </w:r>
      <w:r w:rsidRPr="00D417BD">
        <w:t xml:space="preserve"> and that it operates within allowable maximum permissible errors.</w:t>
      </w:r>
    </w:p>
    <w:p w14:paraId="0435F5DF" w14:textId="64061041" w:rsidR="003548DA" w:rsidRDefault="00486EF2" w:rsidP="008823F5">
      <w:r>
        <w:t xml:space="preserve">Service licensees, verifiers, certifiers and Approving Authorities support the reliability of measuring instruments. </w:t>
      </w:r>
      <w:r w:rsidR="006474CD">
        <w:t>Government a</w:t>
      </w:r>
      <w:r w:rsidR="00EC22D8">
        <w:t xml:space="preserve">dministrators can use Australia’s measurement law </w:t>
      </w:r>
      <w:r w:rsidR="00EC22D8">
        <w:lastRenderedPageBreak/>
        <w:t>framework</w:t>
      </w:r>
      <w:r w:rsidR="00331EA1">
        <w:rPr>
          <w:rStyle w:val="FootnoteReference"/>
          <w:rFonts w:cstheme="minorHAnsi"/>
          <w:sz w:val="20"/>
        </w:rPr>
        <w:footnoteReference w:id="9"/>
      </w:r>
      <w:r w:rsidR="00331EA1">
        <w:t xml:space="preserve"> </w:t>
      </w:r>
      <w:r w:rsidR="00EC22D8">
        <w:t xml:space="preserve">to facilitate efficient and effective programme delivery by </w:t>
      </w:r>
      <w:r w:rsidR="00EE47C0">
        <w:t xml:space="preserve">using </w:t>
      </w:r>
      <w:r w:rsidR="007877AB" w:rsidRPr="00BF02C7">
        <w:t xml:space="preserve">pattern approval </w:t>
      </w:r>
      <w:r w:rsidR="007877AB">
        <w:t xml:space="preserve">and </w:t>
      </w:r>
      <w:r w:rsidR="007877AB" w:rsidRPr="00BF02C7">
        <w:t>certification</w:t>
      </w:r>
      <w:r w:rsidR="007877AB" w:rsidDel="007877AB">
        <w:t xml:space="preserve"> </w:t>
      </w:r>
      <w:r w:rsidR="00EC22D8">
        <w:t>to assure the accuracy and reliability of measurements.</w:t>
      </w:r>
    </w:p>
    <w:p w14:paraId="6CBDD7A6" w14:textId="44BB9B43" w:rsidR="00076199" w:rsidRPr="004B4272" w:rsidRDefault="00076199" w:rsidP="00135CAE">
      <w:pPr>
        <w:pStyle w:val="Heading3"/>
      </w:pPr>
      <w:r w:rsidRPr="00BA7C58">
        <w:t>Questions:</w:t>
      </w:r>
    </w:p>
    <w:p w14:paraId="68ACD86E" w14:textId="2D8B2B87" w:rsidR="00972983" w:rsidRDefault="00797577" w:rsidP="00135CAE">
      <w:pPr>
        <w:pStyle w:val="ListParagraph"/>
        <w:numPr>
          <w:ilvl w:val="2"/>
          <w:numId w:val="34"/>
        </w:numPr>
      </w:pPr>
      <w:r>
        <w:t>In your opinion, d</w:t>
      </w:r>
      <w:r w:rsidR="00972983">
        <w:t xml:space="preserve">oes the current legislative framework strike an appropriate balance between the interests of various parties in the supply chain? </w:t>
      </w:r>
      <w:r>
        <w:t>If not, h</w:t>
      </w:r>
      <w:r w:rsidR="00972983" w:rsidRPr="00BF02C7">
        <w:t>ow could current arrangements be made more efficient</w:t>
      </w:r>
      <w:r w:rsidR="00972983">
        <w:t xml:space="preserve"> or effective</w:t>
      </w:r>
      <w:r w:rsidR="00972983" w:rsidRPr="00BF02C7">
        <w:t>?</w:t>
      </w:r>
    </w:p>
    <w:p w14:paraId="443730C8" w14:textId="23EA9892" w:rsidR="00972983" w:rsidRDefault="00972983" w:rsidP="008823F5">
      <w:pPr>
        <w:ind w:left="1440"/>
      </w:pPr>
      <w:r>
        <w:t>In answering this question, you may wish to consider the competing priorities of consumers, regulators and entities at various levels in the supply chain and those of measurement instrument suppliers (manufacturers and importers).</w:t>
      </w:r>
    </w:p>
    <w:p w14:paraId="1457384F" w14:textId="6E969F4F" w:rsidR="00972983" w:rsidRPr="00905D04" w:rsidRDefault="00972983" w:rsidP="00135CAE">
      <w:pPr>
        <w:pStyle w:val="ListParagraph"/>
        <w:numPr>
          <w:ilvl w:val="2"/>
          <w:numId w:val="34"/>
        </w:numPr>
      </w:pPr>
      <w:r w:rsidRPr="00135CAE">
        <w:rPr>
          <w:rFonts w:cstheme="minorHAnsi"/>
        </w:rPr>
        <w:t>How should Australia’s measurement laws specify the types of measuring instruments to which they apply? For instance, would exemption or inclusion requirements be effective?</w:t>
      </w:r>
    </w:p>
    <w:p w14:paraId="57798ED7" w14:textId="77777777" w:rsidR="008823F5" w:rsidRDefault="008823F5" w:rsidP="008823F5">
      <w:pPr>
        <w:pStyle w:val="ListParagraph"/>
        <w:ind w:left="1440"/>
        <w:rPr>
          <w:rFonts w:cstheme="minorHAnsi"/>
        </w:rPr>
      </w:pPr>
    </w:p>
    <w:p w14:paraId="7117E565" w14:textId="78261D88" w:rsidR="00972983" w:rsidRDefault="00972983" w:rsidP="008823F5">
      <w:pPr>
        <w:pStyle w:val="ListParagraph"/>
        <w:ind w:left="1440"/>
        <w:rPr>
          <w:rFonts w:cstheme="minorHAnsi"/>
        </w:rPr>
      </w:pPr>
      <w:r w:rsidRPr="008823F5">
        <w:rPr>
          <w:rFonts w:cstheme="minorHAnsi"/>
        </w:rPr>
        <w:t>In answering this question, you may want to provide your views on the currently listed exemptions</w:t>
      </w:r>
      <w:r w:rsidR="006474CD" w:rsidRPr="008823F5">
        <w:rPr>
          <w:rFonts w:cstheme="minorHAnsi"/>
        </w:rPr>
        <w:t>.</w:t>
      </w:r>
      <w:r w:rsidRPr="008823F5">
        <w:rPr>
          <w:rFonts w:cstheme="minorHAnsi"/>
        </w:rPr>
        <w:t xml:space="preserve"> Are these appropriate to continue? If not</w:t>
      </w:r>
      <w:r w:rsidR="00BA24F5">
        <w:rPr>
          <w:rFonts w:cstheme="minorHAnsi"/>
        </w:rPr>
        <w:t>,</w:t>
      </w:r>
      <w:r w:rsidRPr="008823F5">
        <w:rPr>
          <w:rFonts w:cstheme="minorHAnsi"/>
        </w:rPr>
        <w:t xml:space="preserve"> why?</w:t>
      </w:r>
    </w:p>
    <w:p w14:paraId="5AE03838" w14:textId="75429A55" w:rsidR="006262EB" w:rsidRPr="00F05C48" w:rsidRDefault="00FF67D1" w:rsidP="00135CAE">
      <w:pPr>
        <w:pStyle w:val="Heading2"/>
        <w:numPr>
          <w:ilvl w:val="1"/>
          <w:numId w:val="34"/>
        </w:numPr>
      </w:pPr>
      <w:bookmarkStart w:id="21" w:name="_Toc536626931"/>
      <w:bookmarkStart w:id="22" w:name="_Toc3459034"/>
      <w:r>
        <w:t>Fl</w:t>
      </w:r>
      <w:r w:rsidR="006262EB" w:rsidRPr="00F05C48">
        <w:t>exibility</w:t>
      </w:r>
      <w:bookmarkEnd w:id="21"/>
      <w:bookmarkEnd w:id="22"/>
    </w:p>
    <w:p w14:paraId="050D5812" w14:textId="4ADC49ED" w:rsidR="006262EB" w:rsidRDefault="006262EB" w:rsidP="008823F5">
      <w:r>
        <w:t>M</w:t>
      </w:r>
      <w:r w:rsidRPr="00107995">
        <w:t xml:space="preserve">etrological control systems </w:t>
      </w:r>
      <w:r>
        <w:t>such as pa</w:t>
      </w:r>
      <w:r w:rsidRPr="00107995">
        <w:t xml:space="preserve">ttern approval, verification and certification </w:t>
      </w:r>
      <w:r>
        <w:t xml:space="preserve">under Australia’s current measurement laws </w:t>
      </w:r>
      <w:r w:rsidRPr="00107995">
        <w:t xml:space="preserve">are only applied to a defined range of measuring instruments </w:t>
      </w:r>
      <w:r>
        <w:t xml:space="preserve">and in specific circumstances. </w:t>
      </w:r>
      <w:r w:rsidR="006474CD">
        <w:t>Significant volumes of measuring instruments in Australia are</w:t>
      </w:r>
      <w:r>
        <w:t xml:space="preserve"> not used in trade and therefore are not subject to metrological control under Australia’s measurement laws. </w:t>
      </w:r>
      <w:r w:rsidR="00C672D6">
        <w:t xml:space="preserve">However, where an instrument is for a legal purpose other than trade it may be subject to the requirements of other </w:t>
      </w:r>
      <w:r w:rsidR="00C672D6" w:rsidRPr="00C672D6">
        <w:t>Commonwealth, state</w:t>
      </w:r>
      <w:r w:rsidR="004D2CA4">
        <w:t xml:space="preserve"> or </w:t>
      </w:r>
      <w:r w:rsidR="00C672D6" w:rsidRPr="00C672D6">
        <w:t>territory legislation</w:t>
      </w:r>
      <w:r w:rsidR="00C672D6">
        <w:t xml:space="preserve"> that sit</w:t>
      </w:r>
      <w:r w:rsidR="00F50C11">
        <w:t>s</w:t>
      </w:r>
      <w:r w:rsidR="00C672D6">
        <w:t xml:space="preserve"> outside Australia’s measurement laws.</w:t>
      </w:r>
    </w:p>
    <w:p w14:paraId="66D99522" w14:textId="6BF85BFD" w:rsidR="006262EB" w:rsidRPr="00107995" w:rsidRDefault="006262EB" w:rsidP="00F11A9A">
      <w:pPr>
        <w:pStyle w:val="Casestudy"/>
      </w:pPr>
      <w:r>
        <w:t>This review provides an opportunity to consider whether the current scope of application of metrological control systems is appropriate or if Australia’s measurement framework can be designed differently to benefit industry and government while maintaining consumer confidence in measurement-based trade transactions.</w:t>
      </w:r>
    </w:p>
    <w:p w14:paraId="443B2805" w14:textId="77777777" w:rsidR="006262EB" w:rsidRDefault="006262EB" w:rsidP="008823F5">
      <w:r>
        <w:t>Benefits of these control systems under Australia’s current measurement laws can include:</w:t>
      </w:r>
    </w:p>
    <w:p w14:paraId="2C7B2C86" w14:textId="79EBE9E2" w:rsidR="006262EB" w:rsidRDefault="006262EB" w:rsidP="00975F8B">
      <w:pPr>
        <w:pStyle w:val="ListParagraph"/>
        <w:numPr>
          <w:ilvl w:val="0"/>
          <w:numId w:val="11"/>
        </w:numPr>
      </w:pPr>
      <w:r>
        <w:t xml:space="preserve">regulated </w:t>
      </w:r>
      <w:r w:rsidRPr="007005D3">
        <w:t xml:space="preserve">measuring instruments </w:t>
      </w:r>
      <w:r>
        <w:t>used in the market are fit-for-purpose</w:t>
      </w:r>
      <w:r w:rsidRPr="007005D3">
        <w:t xml:space="preserve"> </w:t>
      </w:r>
    </w:p>
    <w:p w14:paraId="0C67C8F4" w14:textId="2C43B9CE" w:rsidR="006262EB" w:rsidRDefault="006262EB" w:rsidP="00975F8B">
      <w:pPr>
        <w:pStyle w:val="ListParagraph"/>
        <w:numPr>
          <w:ilvl w:val="0"/>
          <w:numId w:val="11"/>
        </w:numPr>
      </w:pPr>
      <w:r>
        <w:t xml:space="preserve">greater protection from fraudulent measurement practices for </w:t>
      </w:r>
      <w:r w:rsidRPr="007005D3">
        <w:t xml:space="preserve">consumers </w:t>
      </w:r>
      <w:r>
        <w:t>who rely on measuring instruments used for trade</w:t>
      </w:r>
      <w:r w:rsidR="00685105">
        <w:t>,</w:t>
      </w:r>
      <w:r>
        <w:t xml:space="preserve"> and</w:t>
      </w:r>
    </w:p>
    <w:p w14:paraId="0494FBEE" w14:textId="77777777" w:rsidR="006262EB" w:rsidRDefault="006262EB" w:rsidP="00975F8B">
      <w:pPr>
        <w:pStyle w:val="ListParagraph"/>
        <w:numPr>
          <w:ilvl w:val="0"/>
          <w:numId w:val="11"/>
        </w:numPr>
      </w:pPr>
      <w:r>
        <w:t>helping to establish a level playing field between commercial competitors based on the independently attested performance of regulated measurement instruments.</w:t>
      </w:r>
    </w:p>
    <w:p w14:paraId="62919148" w14:textId="0DAEB3FA" w:rsidR="006262EB" w:rsidRDefault="006262EB" w:rsidP="008823F5">
      <w:r w:rsidRPr="00107995">
        <w:t xml:space="preserve">For the most part, measuring instruments </w:t>
      </w:r>
      <w:r>
        <w:t xml:space="preserve">used </w:t>
      </w:r>
      <w:r w:rsidRPr="00107995">
        <w:t xml:space="preserve">for non-trade purposes are not constrained by these controls. </w:t>
      </w:r>
      <w:r w:rsidR="00A9184A" w:rsidRPr="00616A66">
        <w:t xml:space="preserve">This includes a range of chemical and biological measurement instruments used for scientific purposes. </w:t>
      </w:r>
      <w:r w:rsidRPr="00616A66">
        <w:t>This</w:t>
      </w:r>
      <w:r w:rsidRPr="00107995">
        <w:t xml:space="preserve"> means </w:t>
      </w:r>
      <w:r>
        <w:t xml:space="preserve">that </w:t>
      </w:r>
      <w:r w:rsidRPr="00107995">
        <w:t xml:space="preserve">new, innovative measuring instruments for non-trade purposes can find their way </w:t>
      </w:r>
      <w:r>
        <w:t>i</w:t>
      </w:r>
      <w:r w:rsidRPr="00107995">
        <w:t xml:space="preserve">nto the market and into practical use quickly and easily, for example a pedometer app for </w:t>
      </w:r>
      <w:r>
        <w:t>m</w:t>
      </w:r>
      <w:r w:rsidRPr="00107995">
        <w:t>obile phone</w:t>
      </w:r>
      <w:r>
        <w:t>s. This is arguably an example where the costs of regul</w:t>
      </w:r>
      <w:r w:rsidR="00C672D6">
        <w:t>ating would exceed the benefit.</w:t>
      </w:r>
    </w:p>
    <w:p w14:paraId="057F5D5D" w14:textId="48578F07" w:rsidR="006262EB" w:rsidRDefault="006262EB" w:rsidP="008823F5">
      <w:r>
        <w:t>For trade measuring instruments</w:t>
      </w:r>
      <w:r w:rsidR="006B095B">
        <w:t>,</w:t>
      </w:r>
      <w:r>
        <w:t xml:space="preserve"> the requirements of compliance with the m</w:t>
      </w:r>
      <w:r w:rsidRPr="00107995">
        <w:t xml:space="preserve">etrological control systems </w:t>
      </w:r>
      <w:r w:rsidR="00460F5D">
        <w:t>discussed in this paper</w:t>
      </w:r>
      <w:r>
        <w:t xml:space="preserve"> can result in delays in those instruments reaching the market. For example</w:t>
      </w:r>
      <w:r w:rsidRPr="001B6933">
        <w:t xml:space="preserve">, developing documentary standards for pattern approval as well as </w:t>
      </w:r>
      <w:r w:rsidRPr="001B6933">
        <w:lastRenderedPageBreak/>
        <w:t xml:space="preserve">verification processes can take time, </w:t>
      </w:r>
      <w:r>
        <w:t xml:space="preserve">which </w:t>
      </w:r>
      <w:r w:rsidRPr="001B6933">
        <w:t>reduc</w:t>
      </w:r>
      <w:r>
        <w:t>es</w:t>
      </w:r>
      <w:r w:rsidRPr="001B6933">
        <w:t xml:space="preserve"> the framework's ability to keep pace with developments in </w:t>
      </w:r>
      <w:r>
        <w:t xml:space="preserve">the technology of </w:t>
      </w:r>
      <w:r w:rsidRPr="001B6933">
        <w:t>measuring instrument</w:t>
      </w:r>
      <w:r>
        <w:t>s</w:t>
      </w:r>
      <w:r w:rsidRPr="001B6933">
        <w:t xml:space="preserve"> </w:t>
      </w:r>
      <w:r>
        <w:t>used for trade</w:t>
      </w:r>
      <w:r w:rsidRPr="001B6933">
        <w:t>.</w:t>
      </w:r>
    </w:p>
    <w:p w14:paraId="5E2592F3" w14:textId="5A0F243F" w:rsidR="006262EB" w:rsidRPr="00107995" w:rsidRDefault="006262EB" w:rsidP="008823F5">
      <w:r w:rsidRPr="00107995">
        <w:t>The degree to which flexibility exists for regulated measuring instruments under the current measurement framework is demonstrated through the following case studies.</w:t>
      </w:r>
    </w:p>
    <w:p w14:paraId="223AA80D" w14:textId="41E4C111" w:rsidR="006262EB" w:rsidRDefault="006262EB" w:rsidP="006262EB">
      <w:pPr>
        <w:pStyle w:val="Casestudy"/>
      </w:pPr>
      <w:r>
        <w:rPr>
          <w:b/>
        </w:rPr>
        <w:t>Case Study</w:t>
      </w:r>
      <w:r w:rsidRPr="00FF5E92">
        <w:rPr>
          <w:b/>
        </w:rPr>
        <w:t xml:space="preserve">: </w:t>
      </w:r>
      <w:r w:rsidRPr="003A496E">
        <w:rPr>
          <w:b/>
        </w:rPr>
        <w:t xml:space="preserve">Metrological control systems </w:t>
      </w:r>
      <w:r w:rsidRPr="00FF5E92">
        <w:rPr>
          <w:b/>
        </w:rPr>
        <w:t>for measuring instruments</w:t>
      </w:r>
      <w:r>
        <w:rPr>
          <w:b/>
        </w:rPr>
        <w:t xml:space="preserve"> used by government</w:t>
      </w:r>
      <w:r w:rsidRPr="00FF5E92">
        <w:br/>
      </w:r>
      <w:r>
        <w:t xml:space="preserve">Australia’s measurement laws provide a framework that can be used to enable the confident use of measurements across sectors including health, environment, safety and trade. </w:t>
      </w:r>
      <w:r w:rsidRPr="001B6933">
        <w:t xml:space="preserve">For example, </w:t>
      </w:r>
      <w:r>
        <w:t xml:space="preserve">the framework provides for </w:t>
      </w:r>
      <w:r w:rsidRPr="001B6933">
        <w:t xml:space="preserve">measurement standards used to support high-speed global communication and satellite navigation </w:t>
      </w:r>
      <w:r>
        <w:t xml:space="preserve">and </w:t>
      </w:r>
      <w:r w:rsidRPr="001B6933">
        <w:t>high</w:t>
      </w:r>
      <w:r w:rsidR="00DE284B">
        <w:t>-</w:t>
      </w:r>
      <w:r w:rsidRPr="001B6933">
        <w:t>accuracy certified reference materials to support the</w:t>
      </w:r>
      <w:r>
        <w:t xml:space="preserve"> detection of harmful toxins in food and pollutants in the environment.</w:t>
      </w:r>
    </w:p>
    <w:p w14:paraId="3F4DBA0A" w14:textId="5B369222" w:rsidR="006262EB" w:rsidRDefault="003A3AD9" w:rsidP="006262EB">
      <w:pPr>
        <w:pStyle w:val="Casestudy"/>
        <w:rPr>
          <w:b/>
        </w:rPr>
      </w:pPr>
      <w:r>
        <w:t>Except for</w:t>
      </w:r>
      <w:r w:rsidR="006262EB" w:rsidRPr="00FF5E92">
        <w:t xml:space="preserve"> measuring instruments used by the Surveyor General and law enforcement agencies, there has been limited uptake by other government </w:t>
      </w:r>
      <w:r w:rsidR="004D2CA4">
        <w:t>regulators</w:t>
      </w:r>
      <w:r w:rsidR="006262EB">
        <w:t xml:space="preserve"> to use the pattern approval aspects</w:t>
      </w:r>
      <w:r w:rsidR="006262EB" w:rsidRPr="001B6933">
        <w:t xml:space="preserve"> of the framework</w:t>
      </w:r>
      <w:r w:rsidR="006262EB">
        <w:t xml:space="preserve">. </w:t>
      </w:r>
      <w:r w:rsidR="006262EB" w:rsidRPr="00FF5E92">
        <w:t xml:space="preserve">This </w:t>
      </w:r>
      <w:r w:rsidR="006262EB">
        <w:t>may partly</w:t>
      </w:r>
      <w:r w:rsidR="006262EB" w:rsidRPr="00FF5E92">
        <w:t xml:space="preserve"> </w:t>
      </w:r>
      <w:r w:rsidR="006262EB">
        <w:t xml:space="preserve">be </w:t>
      </w:r>
      <w:r w:rsidR="006262EB" w:rsidRPr="00FF5E92">
        <w:t xml:space="preserve">due </w:t>
      </w:r>
      <w:r w:rsidR="006262EB" w:rsidRPr="00F761EC">
        <w:t xml:space="preserve">to </w:t>
      </w:r>
      <w:r w:rsidR="006262EB">
        <w:t xml:space="preserve">limited flexibility of the </w:t>
      </w:r>
      <w:r w:rsidR="006262EB">
        <w:rPr>
          <w:rFonts w:cstheme="minorHAnsi"/>
        </w:rPr>
        <w:t>m</w:t>
      </w:r>
      <w:r w:rsidR="006262EB" w:rsidRPr="00107995">
        <w:rPr>
          <w:rFonts w:cstheme="minorHAnsi"/>
        </w:rPr>
        <w:t>etrological control systems</w:t>
      </w:r>
      <w:r w:rsidR="006262EB">
        <w:t xml:space="preserve"> under Australia’s measurement legislation to support</w:t>
      </w:r>
      <w:r w:rsidR="006262EB" w:rsidRPr="00FF5E92">
        <w:t xml:space="preserve"> </w:t>
      </w:r>
      <w:r w:rsidR="006262EB">
        <w:t xml:space="preserve">measuring </w:t>
      </w:r>
      <w:r w:rsidR="006262EB" w:rsidRPr="00FF5E92">
        <w:t xml:space="preserve">instruments used </w:t>
      </w:r>
      <w:r w:rsidR="006262EB">
        <w:t>in</w:t>
      </w:r>
      <w:r w:rsidR="006262EB" w:rsidRPr="00FF5E92">
        <w:t xml:space="preserve"> </w:t>
      </w:r>
      <w:r w:rsidR="006262EB">
        <w:t>non-</w:t>
      </w:r>
      <w:r w:rsidR="006262EB" w:rsidRPr="00FF5E92">
        <w:t xml:space="preserve">trade </w:t>
      </w:r>
      <w:r w:rsidR="006262EB">
        <w:t>applications such as in health, environment</w:t>
      </w:r>
      <w:r w:rsidR="006262EB" w:rsidRPr="00910CA9">
        <w:t xml:space="preserve"> </w:t>
      </w:r>
      <w:r w:rsidR="006262EB">
        <w:t xml:space="preserve">and safety. </w:t>
      </w:r>
    </w:p>
    <w:p w14:paraId="23E6EEC5" w14:textId="77777777" w:rsidR="006262EB" w:rsidRPr="00C14BC0" w:rsidRDefault="006262EB" w:rsidP="006262EB">
      <w:pPr>
        <w:pStyle w:val="Casestudy"/>
        <w:rPr>
          <w:b/>
        </w:rPr>
      </w:pPr>
      <w:r>
        <w:rPr>
          <w:b/>
        </w:rPr>
        <w:t>Case Study</w:t>
      </w:r>
      <w:r w:rsidRPr="00C14BC0">
        <w:rPr>
          <w:b/>
        </w:rPr>
        <w:t xml:space="preserve">: </w:t>
      </w:r>
      <w:r>
        <w:rPr>
          <w:b/>
        </w:rPr>
        <w:t>Approval process</w:t>
      </w:r>
      <w:r w:rsidRPr="00C14BC0">
        <w:rPr>
          <w:b/>
        </w:rPr>
        <w:t xml:space="preserve"> for </w:t>
      </w:r>
      <w:r>
        <w:rPr>
          <w:b/>
        </w:rPr>
        <w:t>new measuring i</w:t>
      </w:r>
      <w:r w:rsidRPr="00C14BC0">
        <w:rPr>
          <w:b/>
        </w:rPr>
        <w:t>nstrument</w:t>
      </w:r>
      <w:r>
        <w:rPr>
          <w:b/>
        </w:rPr>
        <w:t xml:space="preserve"> developed by industry</w:t>
      </w:r>
    </w:p>
    <w:p w14:paraId="6D62CCF0" w14:textId="0CFB9282" w:rsidR="006262EB" w:rsidRPr="007711F7" w:rsidRDefault="006262EB" w:rsidP="006262EB">
      <w:pPr>
        <w:pStyle w:val="Casestudy"/>
      </w:pPr>
      <w:r>
        <w:t>R</w:t>
      </w:r>
      <w:r w:rsidRPr="000426E6">
        <w:t xml:space="preserve">ecent developments in the </w:t>
      </w:r>
      <w:r>
        <w:t>sugar</w:t>
      </w:r>
      <w:r w:rsidRPr="000426E6">
        <w:t xml:space="preserve"> industr</w:t>
      </w:r>
      <w:r>
        <w:t>y</w:t>
      </w:r>
      <w:r w:rsidRPr="000426E6">
        <w:t xml:space="preserve"> ha</w:t>
      </w:r>
      <w:r>
        <w:t>ve</w:t>
      </w:r>
      <w:r w:rsidRPr="000426E6">
        <w:t xml:space="preserve"> seen the </w:t>
      </w:r>
      <w:r w:rsidR="00F50C11">
        <w:t xml:space="preserve">new </w:t>
      </w:r>
      <w:r w:rsidRPr="000426E6">
        <w:t xml:space="preserve">adoption of </w:t>
      </w:r>
      <w:r>
        <w:t xml:space="preserve">near infrared (NIR) </w:t>
      </w:r>
      <w:r w:rsidRPr="000426E6">
        <w:t xml:space="preserve">technology </w:t>
      </w:r>
      <w:r>
        <w:t>to measure sugar content in sugarcane. T</w:t>
      </w:r>
      <w:r w:rsidRPr="000426E6">
        <w:t xml:space="preserve">here is currently </w:t>
      </w:r>
      <w:r>
        <w:t xml:space="preserve">no </w:t>
      </w:r>
      <w:r w:rsidRPr="000426E6">
        <w:t>accepted international standard</w:t>
      </w:r>
      <w:r>
        <w:t xml:space="preserve"> for this measuring instrument</w:t>
      </w:r>
      <w:r w:rsidRPr="000426E6">
        <w:t xml:space="preserve"> despite </w:t>
      </w:r>
      <w:r>
        <w:t xml:space="preserve">their </w:t>
      </w:r>
      <w:r w:rsidRPr="000426E6">
        <w:t xml:space="preserve">rapid uptake by industry due to efficiency increases. </w:t>
      </w:r>
      <w:r>
        <w:t>With neither an international nor a domestic standard being developed, it is not possible for these measuring instruments to be approved for use in trade.</w:t>
      </w:r>
      <w:r w:rsidRPr="000426E6">
        <w:t xml:space="preserve"> </w:t>
      </w:r>
      <w:r>
        <w:t>In response, i</w:t>
      </w:r>
      <w:r w:rsidRPr="000426E6">
        <w:t>ndustry has been working with the N</w:t>
      </w:r>
      <w:r w:rsidR="00744FAB">
        <w:t xml:space="preserve">ational </w:t>
      </w:r>
      <w:r w:rsidRPr="000426E6">
        <w:t>M</w:t>
      </w:r>
      <w:r w:rsidR="00744FAB">
        <w:t xml:space="preserve">easurement </w:t>
      </w:r>
      <w:r w:rsidRPr="000426E6">
        <w:t>I</w:t>
      </w:r>
      <w:r w:rsidR="00744FAB">
        <w:t>nstitute (NMI)</w:t>
      </w:r>
      <w:r w:rsidRPr="000426E6">
        <w:t xml:space="preserve"> to develop a national standard and</w:t>
      </w:r>
      <w:r>
        <w:t xml:space="preserve"> with</w:t>
      </w:r>
      <w:r w:rsidRPr="000426E6">
        <w:t xml:space="preserve"> the international community to develop an international standard for the measurement of </w:t>
      </w:r>
      <w:r>
        <w:t>sugar content in sugarcane</w:t>
      </w:r>
      <w:r w:rsidRPr="000426E6" w:rsidDel="003A32D8">
        <w:t xml:space="preserve"> </w:t>
      </w:r>
      <w:r>
        <w:t>using NIR</w:t>
      </w:r>
      <w:r w:rsidRPr="000426E6">
        <w:t>.</w:t>
      </w:r>
    </w:p>
    <w:p w14:paraId="688D2849" w14:textId="3A82DD97" w:rsidR="00905D04" w:rsidRPr="00135CAE" w:rsidRDefault="006262EB" w:rsidP="00135CAE">
      <w:pPr>
        <w:pStyle w:val="Heading3"/>
      </w:pPr>
      <w:r w:rsidRPr="004B4272">
        <w:t>Questions:</w:t>
      </w:r>
    </w:p>
    <w:p w14:paraId="6C78DBBD" w14:textId="7FCF8DCD" w:rsidR="00D566CD" w:rsidRDefault="00D566CD" w:rsidP="00135CAE">
      <w:pPr>
        <w:pStyle w:val="ListParagraph"/>
        <w:numPr>
          <w:ilvl w:val="2"/>
          <w:numId w:val="34"/>
        </w:numPr>
      </w:pPr>
      <w:r>
        <w:t xml:space="preserve">How could </w:t>
      </w:r>
      <w:r w:rsidRPr="007153FD">
        <w:t xml:space="preserve">flexibility </w:t>
      </w:r>
      <w:r>
        <w:t xml:space="preserve">be introduced </w:t>
      </w:r>
      <w:r w:rsidRPr="007153FD">
        <w:t xml:space="preserve">to </w:t>
      </w:r>
      <w:r>
        <w:t>Australia’s measurement laws to allow</w:t>
      </w:r>
      <w:r w:rsidRPr="007153FD">
        <w:t xml:space="preserve"> industry </w:t>
      </w:r>
      <w:r>
        <w:t>to take greater</w:t>
      </w:r>
      <w:r w:rsidRPr="007153FD">
        <w:t xml:space="preserve"> advantage of new developments in measuring instruments</w:t>
      </w:r>
      <w:r>
        <w:t>?</w:t>
      </w:r>
    </w:p>
    <w:p w14:paraId="3D0E1B72" w14:textId="162D804F" w:rsidR="008823F5" w:rsidRDefault="00D566CD" w:rsidP="00975F8B">
      <w:pPr>
        <w:ind w:left="1080"/>
      </w:pPr>
      <w:r>
        <w:t xml:space="preserve">In answering this </w:t>
      </w:r>
      <w:r w:rsidR="006474CD">
        <w:t>question,</w:t>
      </w:r>
      <w:r>
        <w:t xml:space="preserve"> you may wish to consider:</w:t>
      </w:r>
    </w:p>
    <w:p w14:paraId="0D45C6A3" w14:textId="587FEF80" w:rsidR="008823F5" w:rsidRDefault="003478E6" w:rsidP="00975F8B">
      <w:pPr>
        <w:pStyle w:val="ListParagraph"/>
        <w:numPr>
          <w:ilvl w:val="0"/>
          <w:numId w:val="12"/>
        </w:numPr>
        <w:ind w:left="1800"/>
      </w:pPr>
      <w:r>
        <w:t xml:space="preserve">appropriate </w:t>
      </w:r>
      <w:r w:rsidR="00D566CD">
        <w:t>timeframe</w:t>
      </w:r>
      <w:r w:rsidR="00447B7F">
        <w:t>s</w:t>
      </w:r>
      <w:r w:rsidR="00D566CD">
        <w:t xml:space="preserve"> for </w:t>
      </w:r>
      <w:r w:rsidR="00447B7F">
        <w:t xml:space="preserve">the </w:t>
      </w:r>
      <w:r w:rsidR="00D566CD">
        <w:t>acceptance of new measuring instrument technology</w:t>
      </w:r>
      <w:r w:rsidR="003F3B45">
        <w:t>,</w:t>
      </w:r>
      <w:r w:rsidR="00550ACF">
        <w:t xml:space="preserve"> and</w:t>
      </w:r>
    </w:p>
    <w:p w14:paraId="4EA2CE2B" w14:textId="18134D68" w:rsidR="00D566CD" w:rsidRDefault="00D566CD" w:rsidP="00975F8B">
      <w:pPr>
        <w:pStyle w:val="ListParagraph"/>
        <w:numPr>
          <w:ilvl w:val="0"/>
          <w:numId w:val="12"/>
        </w:numPr>
        <w:ind w:left="1800"/>
      </w:pPr>
      <w:r>
        <w:t>possible risks associated with rapid technology uptake.</w:t>
      </w:r>
    </w:p>
    <w:p w14:paraId="5564C030" w14:textId="77777777" w:rsidR="008823F5" w:rsidRDefault="008823F5" w:rsidP="008823F5">
      <w:pPr>
        <w:pStyle w:val="ListParagraph"/>
        <w:ind w:left="1440"/>
      </w:pPr>
    </w:p>
    <w:p w14:paraId="726E438B" w14:textId="7BD0DBD7" w:rsidR="00D566CD" w:rsidRDefault="00D566CD" w:rsidP="00135CAE">
      <w:pPr>
        <w:pStyle w:val="ListParagraph"/>
        <w:numPr>
          <w:ilvl w:val="2"/>
          <w:numId w:val="34"/>
        </w:numPr>
      </w:pPr>
      <w:r w:rsidRPr="007153FD">
        <w:t>Do you have any further observations, issues or thoughts regarding the current regulation of measuring instruments?</w:t>
      </w:r>
    </w:p>
    <w:p w14:paraId="688D284A" w14:textId="497BCFAF" w:rsidR="00905D04" w:rsidRPr="00C7702A" w:rsidDel="009B61D2" w:rsidRDefault="0030793A" w:rsidP="00C7702A">
      <w:r>
        <w:br w:type="page"/>
      </w:r>
    </w:p>
    <w:p w14:paraId="688D284B" w14:textId="7B60CE6A" w:rsidR="00107995" w:rsidRPr="002573A1" w:rsidRDefault="0050101A" w:rsidP="002573A1">
      <w:pPr>
        <w:pStyle w:val="Heading1"/>
        <w:numPr>
          <w:ilvl w:val="0"/>
          <w:numId w:val="52"/>
        </w:numPr>
      </w:pPr>
      <w:bookmarkStart w:id="23" w:name="_Toc532223729"/>
      <w:bookmarkStart w:id="24" w:name="_Toc532394048"/>
      <w:bookmarkStart w:id="25" w:name="_Toc536626932"/>
      <w:bookmarkStart w:id="26" w:name="_Toc3459035"/>
      <w:r w:rsidRPr="002573A1">
        <w:lastRenderedPageBreak/>
        <w:t>A</w:t>
      </w:r>
      <w:r w:rsidR="00F153EB" w:rsidRPr="002573A1">
        <w:t>pproval</w:t>
      </w:r>
      <w:r w:rsidR="00994826" w:rsidRPr="002573A1">
        <w:t xml:space="preserve"> for </w:t>
      </w:r>
      <w:bookmarkEnd w:id="23"/>
      <w:bookmarkEnd w:id="24"/>
      <w:r w:rsidR="006F4C9D" w:rsidRPr="002573A1">
        <w:t>use</w:t>
      </w:r>
      <w:bookmarkEnd w:id="25"/>
      <w:bookmarkEnd w:id="26"/>
    </w:p>
    <w:p w14:paraId="77245CE3" w14:textId="169B12BB" w:rsidR="002030FC" w:rsidRPr="0085350A" w:rsidRDefault="002030FC" w:rsidP="00975F8B">
      <w:bookmarkStart w:id="27" w:name="_Toc532223730"/>
      <w:bookmarkStart w:id="28" w:name="_Toc532394049"/>
      <w:r>
        <w:t>Except if exempted under the Act, m</w:t>
      </w:r>
      <w:r w:rsidRPr="008A62C2">
        <w:t>easuring instruments</w:t>
      </w:r>
      <w:r>
        <w:t xml:space="preserve"> used for trade (e.g. supermarket checkout scales)</w:t>
      </w:r>
      <w:r w:rsidRPr="008A62C2">
        <w:t xml:space="preserve"> must </w:t>
      </w:r>
      <w:r>
        <w:t xml:space="preserve">be pattern approved and </w:t>
      </w:r>
      <w:r w:rsidR="00D80295">
        <w:t>verified</w:t>
      </w:r>
      <w:r w:rsidRPr="008A62C2">
        <w:t xml:space="preserve"> before being used in Australia</w:t>
      </w:r>
      <w:r>
        <w:rPr>
          <w:rStyle w:val="FootnoteReference"/>
          <w:rFonts w:cstheme="minorHAnsi"/>
          <w:sz w:val="20"/>
        </w:rPr>
        <w:footnoteReference w:id="10"/>
      </w:r>
      <w:r w:rsidR="007F3FC6">
        <w:t>.</w:t>
      </w:r>
    </w:p>
    <w:p w14:paraId="688D284C" w14:textId="2BF10E06" w:rsidR="00994826" w:rsidRPr="00FD59CA" w:rsidRDefault="00994826" w:rsidP="00135CAE">
      <w:pPr>
        <w:pStyle w:val="Heading2"/>
        <w:numPr>
          <w:ilvl w:val="1"/>
          <w:numId w:val="39"/>
        </w:numPr>
      </w:pPr>
      <w:bookmarkStart w:id="29" w:name="_Toc536626933"/>
      <w:bookmarkStart w:id="30" w:name="_Toc3459036"/>
      <w:r w:rsidRPr="00FD59CA">
        <w:t>Pattern Approval</w:t>
      </w:r>
      <w:bookmarkEnd w:id="27"/>
      <w:bookmarkEnd w:id="28"/>
      <w:bookmarkEnd w:id="29"/>
      <w:bookmarkEnd w:id="30"/>
    </w:p>
    <w:p w14:paraId="2CF902FA" w14:textId="513396B8" w:rsidR="001B3E3F" w:rsidRDefault="00E47808" w:rsidP="00975F8B">
      <w:r>
        <w:t>M</w:t>
      </w:r>
      <w:r w:rsidRPr="00107995">
        <w:t>anufacturers, importers and suppliers</w:t>
      </w:r>
      <w:r>
        <w:t xml:space="preserve"> of regulated measuring instruments </w:t>
      </w:r>
      <w:r w:rsidR="008B57AD">
        <w:t xml:space="preserve">intended </w:t>
      </w:r>
      <w:r w:rsidR="00647E6F">
        <w:t>for trade</w:t>
      </w:r>
      <w:r w:rsidR="00AA76B7">
        <w:t xml:space="preserve"> use</w:t>
      </w:r>
      <w:r w:rsidR="00647E6F">
        <w:t xml:space="preserve"> in Australia </w:t>
      </w:r>
      <w:r>
        <w:t xml:space="preserve">must submit an application to the </w:t>
      </w:r>
      <w:r w:rsidR="00D80295">
        <w:t>Approving Authority</w:t>
      </w:r>
      <w:r>
        <w:rPr>
          <w:rStyle w:val="FootnoteReference"/>
          <w:rFonts w:cstheme="minorHAnsi"/>
          <w:sz w:val="20"/>
        </w:rPr>
        <w:footnoteReference w:id="11"/>
      </w:r>
      <w:r>
        <w:t xml:space="preserve"> to approve </w:t>
      </w:r>
      <w:r w:rsidR="00647E6F">
        <w:t xml:space="preserve">that </w:t>
      </w:r>
      <w:r>
        <w:t>measuring instrument for use</w:t>
      </w:r>
      <w:r w:rsidR="004E6FDF">
        <w:t>,</w:t>
      </w:r>
      <w:r>
        <w:t xml:space="preserve"> even if </w:t>
      </w:r>
      <w:r w:rsidR="00647E6F">
        <w:t>that instrument is</w:t>
      </w:r>
      <w:r>
        <w:t xml:space="preserve"> already approved overseas. This process is known as p</w:t>
      </w:r>
      <w:r w:rsidR="00EC22D8">
        <w:t xml:space="preserve">attern </w:t>
      </w:r>
      <w:r w:rsidR="00EC22D8" w:rsidRPr="00107995">
        <w:t>approval</w:t>
      </w:r>
      <w:r w:rsidR="00967B86">
        <w:t>.</w:t>
      </w:r>
    </w:p>
    <w:p w14:paraId="688D284D" w14:textId="3F13EF6C" w:rsidR="00E47808" w:rsidRDefault="001B3E3F" w:rsidP="00975F8B">
      <w:r w:rsidRPr="00107995">
        <w:t>The Chief Metrologist may appoint Approving Authorities</w:t>
      </w:r>
      <w:r>
        <w:rPr>
          <w:rStyle w:val="FootnoteReference"/>
          <w:rFonts w:cstheme="minorHAnsi"/>
          <w:sz w:val="20"/>
        </w:rPr>
        <w:footnoteReference w:id="12"/>
      </w:r>
      <w:r w:rsidRPr="00107995">
        <w:t xml:space="preserve"> to </w:t>
      </w:r>
      <w:r>
        <w:t>examine and approve measuring instruments on their behalf, although to date such Authorities have only been appointed to undertake examinations.</w:t>
      </w:r>
    </w:p>
    <w:p w14:paraId="688D284F" w14:textId="48B45864" w:rsidR="00B440C5" w:rsidRPr="00107995" w:rsidRDefault="00B440C5" w:rsidP="00975F8B">
      <w:r w:rsidRPr="00107995">
        <w:t>Under Australia’s measurement laws</w:t>
      </w:r>
      <w:r w:rsidR="003478E6">
        <w:t>,</w:t>
      </w:r>
      <w:r w:rsidRPr="00107995">
        <w:t xml:space="preserve"> the steps associated with the pattern approval process </w:t>
      </w:r>
      <w:r>
        <w:t>are</w:t>
      </w:r>
      <w:r w:rsidRPr="00107995">
        <w:t>:</w:t>
      </w:r>
    </w:p>
    <w:p w14:paraId="688D2850" w14:textId="26BD6BFF" w:rsidR="00B440C5" w:rsidRPr="0017421A" w:rsidRDefault="007C4E91" w:rsidP="00B440C5">
      <w:pPr>
        <w:pStyle w:val="Intros"/>
        <w:rPr>
          <w:b w:val="0"/>
          <w:color w:val="auto"/>
          <w:sz w:val="22"/>
          <w:szCs w:val="20"/>
          <w:lang w:val="en-AU"/>
        </w:rPr>
      </w:pPr>
      <w:r>
        <w:rPr>
          <w:b w:val="0"/>
          <w:noProof/>
          <w:color w:val="auto"/>
          <w:sz w:val="22"/>
          <w:szCs w:val="20"/>
          <w:lang w:val="en-AU" w:eastAsia="en-AU"/>
        </w:rPr>
        <w:drawing>
          <wp:inline distT="0" distB="0" distL="0" distR="0" wp14:anchorId="3BC529E2" wp14:editId="70D3F69C">
            <wp:extent cx="5723255" cy="546100"/>
            <wp:effectExtent l="0" t="0" r="0" b="6350"/>
            <wp:docPr id="2" name="Picture 2" descr="Application leads to testing leads to evaluation leads to decision leads to certificate issued." title="Diagram of Pattern Approval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23255" cy="546100"/>
                    </a:xfrm>
                    <a:prstGeom prst="rect">
                      <a:avLst/>
                    </a:prstGeom>
                    <a:noFill/>
                    <a:ln>
                      <a:noFill/>
                    </a:ln>
                  </pic:spPr>
                </pic:pic>
              </a:graphicData>
            </a:graphic>
          </wp:inline>
        </w:drawing>
      </w:r>
    </w:p>
    <w:p w14:paraId="688D2851" w14:textId="4329F03A" w:rsidR="007F4BFF" w:rsidRPr="00107995" w:rsidRDefault="007F4BFF" w:rsidP="00975F8B">
      <w:r w:rsidRPr="00107995">
        <w:t>The</w:t>
      </w:r>
      <w:r>
        <w:t xml:space="preserve"> </w:t>
      </w:r>
      <w:r w:rsidR="008D55D6">
        <w:t xml:space="preserve">pattern approval </w:t>
      </w:r>
      <w:r w:rsidRPr="00107995">
        <w:t xml:space="preserve">examination process checks if an instrument’s design is </w:t>
      </w:r>
      <w:r>
        <w:t>suitable for its purpose</w:t>
      </w:r>
      <w:r w:rsidR="00AA76B7">
        <w:t>, reliable, repeatable</w:t>
      </w:r>
      <w:r w:rsidR="003478E6">
        <w:t xml:space="preserve">, and </w:t>
      </w:r>
      <w:r w:rsidR="002E1762">
        <w:t>capable of</w:t>
      </w:r>
      <w:r w:rsidR="00CF490E">
        <w:t xml:space="preserve"> maintain</w:t>
      </w:r>
      <w:r w:rsidR="002E1762">
        <w:t xml:space="preserve">ing its </w:t>
      </w:r>
      <w:r w:rsidR="00CF490E">
        <w:t xml:space="preserve">calibration </w:t>
      </w:r>
      <w:r w:rsidR="002E1762">
        <w:t xml:space="preserve">over an extended period and </w:t>
      </w:r>
      <w:r w:rsidR="00CF490E">
        <w:t>under a wide range of operating parameters</w:t>
      </w:r>
      <w:r w:rsidR="002E1762">
        <w:t xml:space="preserve"> (e.g. environmental conditions).</w:t>
      </w:r>
      <w:r w:rsidRPr="00107995">
        <w:t xml:space="preserve"> </w:t>
      </w:r>
      <w:r>
        <w:t>T</w:t>
      </w:r>
      <w:r w:rsidRPr="00107995">
        <w:t>he process includes:</w:t>
      </w:r>
    </w:p>
    <w:p w14:paraId="4EB2B5D9" w14:textId="0FE1D946" w:rsidR="00356F26" w:rsidRDefault="0093771A" w:rsidP="004A776C">
      <w:pPr>
        <w:pStyle w:val="ListParagraph"/>
        <w:numPr>
          <w:ilvl w:val="0"/>
          <w:numId w:val="22"/>
        </w:numPr>
      </w:pPr>
      <w:r>
        <w:t>s</w:t>
      </w:r>
      <w:r w:rsidR="00356F26" w:rsidRPr="00BE0C2D">
        <w:t xml:space="preserve">ubmitting an application to the </w:t>
      </w:r>
      <w:r w:rsidR="00356F26">
        <w:t>Approving Authority</w:t>
      </w:r>
      <w:r w:rsidR="00356F26" w:rsidRPr="00BE0C2D">
        <w:t xml:space="preserve"> seeking the approval of the </w:t>
      </w:r>
      <w:r w:rsidR="00356F26">
        <w:t xml:space="preserve">pattern of </w:t>
      </w:r>
      <w:r w:rsidR="005C1548">
        <w:t>t</w:t>
      </w:r>
      <w:r w:rsidR="00356F26">
        <w:t xml:space="preserve">he </w:t>
      </w:r>
      <w:r w:rsidR="00356F26" w:rsidRPr="00BE0C2D">
        <w:t>measuring instrument. The application is accompanied by detailed drawings and specifications of the pattern of the measuring instrument</w:t>
      </w:r>
      <w:r w:rsidR="004A776C">
        <w:t xml:space="preserve">. </w:t>
      </w:r>
      <w:r w:rsidR="00356F26">
        <w:t>D</w:t>
      </w:r>
      <w:r w:rsidR="00356F26" w:rsidRPr="00BE0C2D">
        <w:t>ocumentation</w:t>
      </w:r>
      <w:r w:rsidR="00356F26">
        <w:t xml:space="preserve"> can</w:t>
      </w:r>
      <w:r w:rsidR="00744FAB">
        <w:t xml:space="preserve">, for example, </w:t>
      </w:r>
      <w:r w:rsidR="00356F26">
        <w:t>include test reports, schematics, operating manuals and technical specifications</w:t>
      </w:r>
      <w:r w:rsidR="004A776C">
        <w:t>;</w:t>
      </w:r>
    </w:p>
    <w:p w14:paraId="38F7187B" w14:textId="66590D65" w:rsidR="00356F26" w:rsidRPr="00107995" w:rsidRDefault="0093771A" w:rsidP="004A776C">
      <w:pPr>
        <w:pStyle w:val="ListParagraph"/>
        <w:numPr>
          <w:ilvl w:val="0"/>
          <w:numId w:val="22"/>
        </w:numPr>
      </w:pPr>
      <w:r>
        <w:t>t</w:t>
      </w:r>
      <w:r w:rsidR="00356F26">
        <w:t>esting of the instrument to check its performance;</w:t>
      </w:r>
    </w:p>
    <w:p w14:paraId="7A72E791" w14:textId="6EAFD518" w:rsidR="00356F26" w:rsidRPr="000A5ABB" w:rsidRDefault="0093771A" w:rsidP="004A776C">
      <w:pPr>
        <w:pStyle w:val="ListParagraph"/>
        <w:numPr>
          <w:ilvl w:val="0"/>
          <w:numId w:val="22"/>
        </w:numPr>
      </w:pPr>
      <w:r>
        <w:t>e</w:t>
      </w:r>
      <w:r w:rsidR="00356F26">
        <w:t>xamining</w:t>
      </w:r>
      <w:r w:rsidR="00356F26" w:rsidRPr="00107995">
        <w:t xml:space="preserve"> the operation of the instrument against </w:t>
      </w:r>
      <w:r w:rsidR="00356F26" w:rsidRPr="00BF02C7">
        <w:t>relevant</w:t>
      </w:r>
      <w:r w:rsidR="00356F26">
        <w:t xml:space="preserve"> documentary</w:t>
      </w:r>
      <w:r w:rsidR="00356F26" w:rsidRPr="00BF02C7">
        <w:t xml:space="preserve"> standards</w:t>
      </w:r>
      <w:r w:rsidR="00356F26" w:rsidRPr="00107995">
        <w:t xml:space="preserve"> which are usually based on harmonised international standards</w:t>
      </w:r>
      <w:r w:rsidR="00356F26">
        <w:t>; and</w:t>
      </w:r>
    </w:p>
    <w:p w14:paraId="636E5243" w14:textId="6A8EED68" w:rsidR="00356F26" w:rsidRPr="00F11A9A" w:rsidRDefault="0093771A" w:rsidP="004A776C">
      <w:pPr>
        <w:pStyle w:val="ListParagraph"/>
        <w:numPr>
          <w:ilvl w:val="0"/>
          <w:numId w:val="22"/>
        </w:numPr>
      </w:pPr>
      <w:r>
        <w:t>t</w:t>
      </w:r>
      <w:r w:rsidR="00356F26" w:rsidRPr="000A5ABB">
        <w:t xml:space="preserve">he </w:t>
      </w:r>
      <w:r w:rsidR="00356F26">
        <w:t xml:space="preserve">Approving Authority </w:t>
      </w:r>
      <w:r w:rsidR="00356F26" w:rsidRPr="000A5ABB">
        <w:t>makes a decision and issues a pattern approval certificate</w:t>
      </w:r>
      <w:r w:rsidR="00356F26">
        <w:rPr>
          <w:rStyle w:val="FootnoteReference"/>
          <w:rFonts w:cstheme="minorHAnsi"/>
          <w:sz w:val="20"/>
        </w:rPr>
        <w:footnoteReference w:id="13"/>
      </w:r>
      <w:r w:rsidR="00356F26" w:rsidRPr="000A5ABB">
        <w:t xml:space="preserve"> if the instrument passe</w:t>
      </w:r>
      <w:r w:rsidR="00D25FC2">
        <w:t>s the examination process.</w:t>
      </w:r>
    </w:p>
    <w:p w14:paraId="5088A7EB" w14:textId="74FC0325" w:rsidR="002414C2" w:rsidRDefault="004B0F6F" w:rsidP="00975F8B">
      <w:r w:rsidRPr="00107995">
        <w:t>Although Australia’s measurement laws do not prescribe a period of validity</w:t>
      </w:r>
      <w:r w:rsidR="00376700">
        <w:t xml:space="preserve"> for the </w:t>
      </w:r>
      <w:r w:rsidR="00BA1D5F">
        <w:t xml:space="preserve">approved </w:t>
      </w:r>
      <w:r w:rsidR="00376700">
        <w:t>pattern</w:t>
      </w:r>
      <w:r w:rsidRPr="00107995">
        <w:t xml:space="preserve">, </w:t>
      </w:r>
      <w:r w:rsidR="00B815EF">
        <w:t>the National Measurement Institute (</w:t>
      </w:r>
      <w:r w:rsidRPr="00107995">
        <w:t>NMI</w:t>
      </w:r>
      <w:r w:rsidR="00B815EF">
        <w:t>)</w:t>
      </w:r>
      <w:r w:rsidRPr="00107995">
        <w:t xml:space="preserve"> </w:t>
      </w:r>
      <w:r w:rsidR="00376700">
        <w:t>has typically</w:t>
      </w:r>
      <w:r w:rsidR="00376700" w:rsidRPr="00107995">
        <w:t xml:space="preserve"> </w:t>
      </w:r>
      <w:r w:rsidRPr="00107995">
        <w:t>issue</w:t>
      </w:r>
      <w:r w:rsidR="00376700">
        <w:t>d</w:t>
      </w:r>
      <w:r w:rsidRPr="00107995">
        <w:t xml:space="preserve"> certificates valid</w:t>
      </w:r>
      <w:r w:rsidR="00BA1D5F">
        <w:t xml:space="preserve"> </w:t>
      </w:r>
      <w:r w:rsidRPr="00107995">
        <w:t>f</w:t>
      </w:r>
      <w:r w:rsidR="00BA1D5F">
        <w:t>or</w:t>
      </w:r>
      <w:r w:rsidRPr="00107995">
        <w:t xml:space="preserve"> up to 5 years.</w:t>
      </w:r>
      <w:r w:rsidR="008937FD">
        <w:t xml:space="preserve"> </w:t>
      </w:r>
    </w:p>
    <w:p w14:paraId="688D2856" w14:textId="57EBAAF7" w:rsidR="003E47A7" w:rsidRPr="00107995" w:rsidRDefault="00B97B55" w:rsidP="00975F8B">
      <w:r>
        <w:t xml:space="preserve">Pattern approval </w:t>
      </w:r>
      <w:r w:rsidR="002414C2">
        <w:t>help</w:t>
      </w:r>
      <w:r w:rsidR="001D4F85">
        <w:t>s</w:t>
      </w:r>
      <w:r w:rsidR="002414C2">
        <w:t xml:space="preserve"> in providing consumer confidence</w:t>
      </w:r>
      <w:r w:rsidR="004A776C">
        <w:t xml:space="preserve"> in measurement results</w:t>
      </w:r>
      <w:r w:rsidR="002414C2">
        <w:t xml:space="preserve"> </w:t>
      </w:r>
      <w:r w:rsidR="004A776C">
        <w:t>and assists with</w:t>
      </w:r>
      <w:r w:rsidR="002414C2">
        <w:t xml:space="preserve"> access</w:t>
      </w:r>
      <w:r w:rsidR="003E47A7">
        <w:t xml:space="preserve"> to overseas markets</w:t>
      </w:r>
      <w:r w:rsidR="002414C2">
        <w:t xml:space="preserve"> for Australian businesses</w:t>
      </w:r>
      <w:r w:rsidR="003E47A7">
        <w:t xml:space="preserve">. This </w:t>
      </w:r>
      <w:r w:rsidR="00D80B03">
        <w:t xml:space="preserve">reduces </w:t>
      </w:r>
      <w:r w:rsidR="003E47A7">
        <w:t>technical barriers to international trade for manufacturers, suppliers and exporters of measuring instruments.</w:t>
      </w:r>
      <w:r w:rsidR="00F07DF4">
        <w:br/>
      </w:r>
    </w:p>
    <w:p w14:paraId="688D2857" w14:textId="658572B7" w:rsidR="009E3DC5" w:rsidRPr="00BF02C7" w:rsidRDefault="00787084" w:rsidP="00BF02C7">
      <w:pPr>
        <w:pStyle w:val="Casestudy"/>
        <w:rPr>
          <w:b/>
        </w:rPr>
      </w:pPr>
      <w:r w:rsidRPr="00BF02C7">
        <w:rPr>
          <w:b/>
        </w:rPr>
        <w:t>International Comparison</w:t>
      </w:r>
      <w:r w:rsidR="00530F73">
        <w:rPr>
          <w:b/>
        </w:rPr>
        <w:t>:</w:t>
      </w:r>
      <w:r w:rsidR="009E3DC5" w:rsidRPr="00BF02C7">
        <w:rPr>
          <w:b/>
        </w:rPr>
        <w:t xml:space="preserve"> </w:t>
      </w:r>
      <w:r w:rsidR="00B61EC5" w:rsidRPr="00BF02C7">
        <w:rPr>
          <w:b/>
        </w:rPr>
        <w:t xml:space="preserve">European Union </w:t>
      </w:r>
      <w:r w:rsidR="004B0F6F" w:rsidRPr="00BF02C7">
        <w:rPr>
          <w:b/>
        </w:rPr>
        <w:t xml:space="preserve">Measuring Instrument Directive </w:t>
      </w:r>
    </w:p>
    <w:p w14:paraId="688D2858" w14:textId="73D3AB2E" w:rsidR="007F4BFF" w:rsidRDefault="007F4BFF" w:rsidP="007F4BFF">
      <w:pPr>
        <w:pStyle w:val="Casestudy"/>
      </w:pPr>
      <w:r w:rsidRPr="00107995">
        <w:lastRenderedPageBreak/>
        <w:t xml:space="preserve">The </w:t>
      </w:r>
      <w:hyperlink r:id="rId20" w:history="1">
        <w:r w:rsidRPr="00C3204A">
          <w:rPr>
            <w:rStyle w:val="Hyperlink"/>
          </w:rPr>
          <w:t>Measuring Instruments Directive</w:t>
        </w:r>
      </w:hyperlink>
      <w:r w:rsidRPr="00107995">
        <w:t xml:space="preserve"> (MID)</w:t>
      </w:r>
      <w:r>
        <w:t xml:space="preserve"> </w:t>
      </w:r>
      <w:r w:rsidR="00D52A57">
        <w:t xml:space="preserve">was </w:t>
      </w:r>
      <w:r>
        <w:t xml:space="preserve">established </w:t>
      </w:r>
      <w:r w:rsidRPr="00107995">
        <w:t>by the European Union to harmoni</w:t>
      </w:r>
      <w:r>
        <w:t>s</w:t>
      </w:r>
      <w:r w:rsidRPr="00107995">
        <w:t xml:space="preserve">e </w:t>
      </w:r>
      <w:r>
        <w:t xml:space="preserve">the </w:t>
      </w:r>
      <w:r w:rsidRPr="00107995">
        <w:t xml:space="preserve">European market for measuring instruments. </w:t>
      </w:r>
      <w:r w:rsidR="003A3AD9">
        <w:t>The MID aims</w:t>
      </w:r>
      <w:r w:rsidRPr="00107995">
        <w:t xml:space="preserve"> to protect the consumer and to create a basis for</w:t>
      </w:r>
      <w:r w:rsidR="00BD40F6">
        <w:t xml:space="preserve"> trust and</w:t>
      </w:r>
      <w:r w:rsidRPr="00107995">
        <w:t xml:space="preserve"> fair trade in the public interest.</w:t>
      </w:r>
    </w:p>
    <w:p w14:paraId="794030FC" w14:textId="3D485D5D" w:rsidR="00D55C67" w:rsidRDefault="00D55C67" w:rsidP="00D55C67">
      <w:pPr>
        <w:pStyle w:val="Casestudy"/>
      </w:pPr>
      <w:r>
        <w:t xml:space="preserve">The MID provides multiple flexible approval pathways to demonstrate that an instrument is fit-for-use. </w:t>
      </w:r>
      <w:r w:rsidRPr="00107995">
        <w:t>Each measuring instrument manufacturer decide</w:t>
      </w:r>
      <w:r>
        <w:t>s</w:t>
      </w:r>
      <w:r w:rsidRPr="00107995">
        <w:t xml:space="preserve"> which </w:t>
      </w:r>
      <w:r>
        <w:t>approval pathway</w:t>
      </w:r>
      <w:r w:rsidRPr="00107995">
        <w:t xml:space="preserve"> they want to </w:t>
      </w:r>
      <w:r>
        <w:t>use</w:t>
      </w:r>
      <w:r>
        <w:rPr>
          <w:rStyle w:val="FootnoteReference"/>
          <w:rFonts w:cstheme="minorHAnsi"/>
        </w:rPr>
        <w:footnoteReference w:id="14"/>
      </w:r>
      <w:r w:rsidRPr="00107995">
        <w:t xml:space="preserve"> </w:t>
      </w:r>
      <w:r>
        <w:t>and</w:t>
      </w:r>
      <w:r w:rsidRPr="00107995">
        <w:t xml:space="preserve"> prove</w:t>
      </w:r>
      <w:r>
        <w:t>s</w:t>
      </w:r>
      <w:r w:rsidRPr="00107995">
        <w:t xml:space="preserve"> to a notified body</w:t>
      </w:r>
      <w:r>
        <w:t xml:space="preserve"> (which is generally a country’s </w:t>
      </w:r>
      <w:r w:rsidRPr="00107995">
        <w:t>national metrology institute</w:t>
      </w:r>
      <w:r>
        <w:t xml:space="preserve">, such as </w:t>
      </w:r>
      <w:r w:rsidRPr="00107995">
        <w:t xml:space="preserve">the </w:t>
      </w:r>
      <w:hyperlink r:id="rId21" w:history="1">
        <w:r w:rsidRPr="00C3204A">
          <w:rPr>
            <w:rStyle w:val="Hyperlink"/>
          </w:rPr>
          <w:t>Physikalisch-Technische Bundesanstalt</w:t>
        </w:r>
      </w:hyperlink>
      <w:r w:rsidRPr="00107995">
        <w:t xml:space="preserve"> (PTB)</w:t>
      </w:r>
      <w:r>
        <w:t xml:space="preserve"> in Germany)</w:t>
      </w:r>
      <w:r w:rsidRPr="00107995">
        <w:t xml:space="preserve"> that their instrument complies with the MID requirements</w:t>
      </w:r>
      <w:r>
        <w:t>. By comparison, in Australia pattern approval is the only pathway for an instrument to be legally used for trade.</w:t>
      </w:r>
    </w:p>
    <w:p w14:paraId="688D2859" w14:textId="7BA3B805" w:rsidR="007F4BFF" w:rsidRDefault="007F4BFF" w:rsidP="007F4BFF">
      <w:pPr>
        <w:pStyle w:val="Casestudy"/>
      </w:pPr>
      <w:r w:rsidRPr="00107995">
        <w:t>The directive is limited to ten types of measuring instruments that have special economic importance because of their number or their cross-border use. These are: water meters</w:t>
      </w:r>
      <w:r>
        <w:t>;</w:t>
      </w:r>
      <w:r w:rsidRPr="00107995">
        <w:t xml:space="preserve"> gas meters and volume conversion devices</w:t>
      </w:r>
      <w:r>
        <w:t>;</w:t>
      </w:r>
      <w:r w:rsidRPr="00107995">
        <w:t xml:space="preserve"> electric</w:t>
      </w:r>
      <w:r>
        <w:t>ity</w:t>
      </w:r>
      <w:r w:rsidRPr="00107995">
        <w:t xml:space="preserve"> meters</w:t>
      </w:r>
      <w:r>
        <w:t>;</w:t>
      </w:r>
      <w:r w:rsidRPr="00107995">
        <w:t xml:space="preserve"> heat meters</w:t>
      </w:r>
      <w:r>
        <w:t>;</w:t>
      </w:r>
      <w:r w:rsidRPr="00107995">
        <w:t xml:space="preserve"> </w:t>
      </w:r>
      <w:r>
        <w:t>meters for</w:t>
      </w:r>
      <w:r w:rsidRPr="00107995">
        <w:t xml:space="preserve"> liquids other than water</w:t>
      </w:r>
      <w:r>
        <w:t>;</w:t>
      </w:r>
      <w:r w:rsidRPr="00107995">
        <w:t xml:space="preserve"> automatic weighing instruments</w:t>
      </w:r>
      <w:r>
        <w:t>;</w:t>
      </w:r>
      <w:r w:rsidRPr="00107995">
        <w:t xml:space="preserve"> taximeters</w:t>
      </w:r>
      <w:r>
        <w:t>;</w:t>
      </w:r>
      <w:r w:rsidRPr="00107995">
        <w:t xml:space="preserve"> material measures</w:t>
      </w:r>
      <w:r>
        <w:t>;</w:t>
      </w:r>
      <w:r w:rsidRPr="00107995">
        <w:t xml:space="preserve"> dimensional measuring instruments</w:t>
      </w:r>
      <w:r>
        <w:t>;</w:t>
      </w:r>
      <w:r w:rsidRPr="00107995">
        <w:t xml:space="preserve"> and exhaust gas analy</w:t>
      </w:r>
      <w:r>
        <w:t>s</w:t>
      </w:r>
      <w:r w:rsidRPr="00107995">
        <w:t>ers. The MID defines basic requirements for these measuring instruments, e.g. protection against tampering and the displ</w:t>
      </w:r>
      <w:r>
        <w:t>ay of billing-related readings.</w:t>
      </w:r>
    </w:p>
    <w:p w14:paraId="688D285B" w14:textId="77777777" w:rsidR="008F7971" w:rsidRDefault="008F7971" w:rsidP="007F4BFF">
      <w:pPr>
        <w:pStyle w:val="Casestudy"/>
      </w:pPr>
      <w:r>
        <w:t xml:space="preserve">There is a </w:t>
      </w:r>
      <w:hyperlink r:id="rId22" w:history="1">
        <w:r w:rsidRPr="008F7971">
          <w:rPr>
            <w:rStyle w:val="Hyperlink"/>
          </w:rPr>
          <w:t>separate directive</w:t>
        </w:r>
      </w:hyperlink>
      <w:r>
        <w:t xml:space="preserve"> issued by the European Union for non-automatic weighing instruments.</w:t>
      </w:r>
    </w:p>
    <w:p w14:paraId="3FEBC7E2" w14:textId="77777777" w:rsidR="0021768A" w:rsidRPr="0050101A" w:rsidRDefault="0021768A" w:rsidP="00135CAE">
      <w:pPr>
        <w:pStyle w:val="Heading3"/>
      </w:pPr>
      <w:r w:rsidRPr="00B77829">
        <w:t>Questions:</w:t>
      </w:r>
    </w:p>
    <w:p w14:paraId="5360129A" w14:textId="46EF19D3" w:rsidR="0021768A" w:rsidRDefault="0021768A" w:rsidP="00135CAE">
      <w:pPr>
        <w:pStyle w:val="ListParagraph"/>
        <w:numPr>
          <w:ilvl w:val="2"/>
          <w:numId w:val="39"/>
        </w:numPr>
      </w:pPr>
      <w:r w:rsidRPr="00107995">
        <w:t>What is your experience regarding accessing or gaining</w:t>
      </w:r>
      <w:r>
        <w:t xml:space="preserve"> pattern</w:t>
      </w:r>
      <w:r w:rsidRPr="00107995">
        <w:t xml:space="preserve"> approval for </w:t>
      </w:r>
      <w:r>
        <w:t>measuring instruments?</w:t>
      </w:r>
    </w:p>
    <w:p w14:paraId="1CAE3C3F" w14:textId="702DFD7B" w:rsidR="0021768A" w:rsidRDefault="0021768A" w:rsidP="00975F8B">
      <w:pPr>
        <w:ind w:left="1080"/>
      </w:pPr>
      <w:r>
        <w:t xml:space="preserve">In answering </w:t>
      </w:r>
      <w:r w:rsidR="006474CD">
        <w:t>this question,</w:t>
      </w:r>
      <w:r>
        <w:t xml:space="preserve"> you may wish to consider:</w:t>
      </w:r>
    </w:p>
    <w:p w14:paraId="634A0CAF" w14:textId="597A782E" w:rsidR="0021768A" w:rsidRDefault="00826ADD" w:rsidP="00975F8B">
      <w:pPr>
        <w:pStyle w:val="ListParagraph"/>
        <w:numPr>
          <w:ilvl w:val="0"/>
          <w:numId w:val="14"/>
        </w:numPr>
        <w:ind w:left="1800"/>
      </w:pPr>
      <w:r>
        <w:t xml:space="preserve">challenges you may have faced with the process for approving </w:t>
      </w:r>
      <w:r>
        <w:rPr>
          <w:strike/>
        </w:rPr>
        <w:t>a</w:t>
      </w:r>
      <w:r>
        <w:t xml:space="preserve"> measuring instrument in Australia or incorporating new measurement technologies</w:t>
      </w:r>
    </w:p>
    <w:p w14:paraId="2AD58093" w14:textId="763D9123" w:rsidR="0021768A" w:rsidRDefault="002A115F" w:rsidP="00975F8B">
      <w:pPr>
        <w:pStyle w:val="ListParagraph"/>
        <w:numPr>
          <w:ilvl w:val="0"/>
          <w:numId w:val="14"/>
        </w:numPr>
        <w:ind w:left="1800"/>
      </w:pPr>
      <w:r>
        <w:t xml:space="preserve">how </w:t>
      </w:r>
      <w:r w:rsidR="0021768A">
        <w:t>the current approval</w:t>
      </w:r>
      <w:r w:rsidR="0021768A" w:rsidRPr="00107995">
        <w:t xml:space="preserve"> </w:t>
      </w:r>
      <w:r w:rsidR="0021768A">
        <w:t>process could be improved, including what costs and benefits would arise</w:t>
      </w:r>
    </w:p>
    <w:p w14:paraId="5BB24990" w14:textId="69701616" w:rsidR="0021768A" w:rsidRDefault="0021768A" w:rsidP="00975F8B">
      <w:pPr>
        <w:pStyle w:val="ListParagraph"/>
        <w:numPr>
          <w:ilvl w:val="0"/>
          <w:numId w:val="14"/>
        </w:numPr>
        <w:ind w:left="1800"/>
      </w:pPr>
      <w:r>
        <w:t xml:space="preserve">whether </w:t>
      </w:r>
      <w:r w:rsidR="002A115F">
        <w:t xml:space="preserve">you think </w:t>
      </w:r>
      <w:r>
        <w:t>the current process meets the needs of measuring instrument manufacturers/suppliers, servicing licensees and users of measuring instruments</w:t>
      </w:r>
      <w:r w:rsidR="003F3B45">
        <w:t>,</w:t>
      </w:r>
      <w:r w:rsidR="00744FAB">
        <w:t xml:space="preserve"> and</w:t>
      </w:r>
    </w:p>
    <w:p w14:paraId="61BD020F" w14:textId="10C50483" w:rsidR="0021768A" w:rsidRDefault="002A115F" w:rsidP="00975F8B">
      <w:pPr>
        <w:pStyle w:val="ListParagraph"/>
        <w:numPr>
          <w:ilvl w:val="0"/>
          <w:numId w:val="14"/>
        </w:numPr>
        <w:ind w:left="1800"/>
      </w:pPr>
      <w:r>
        <w:t xml:space="preserve">ways in which </w:t>
      </w:r>
      <w:r w:rsidR="0021768A">
        <w:t xml:space="preserve">flexible approval pathways </w:t>
      </w:r>
      <w:r>
        <w:t xml:space="preserve">could </w:t>
      </w:r>
      <w:r w:rsidR="0021768A">
        <w:t>be introduced t</w:t>
      </w:r>
      <w:r>
        <w:t>o Australia’s measurement laws.</w:t>
      </w:r>
    </w:p>
    <w:p w14:paraId="363E2EB7" w14:textId="77777777" w:rsidR="00F32366" w:rsidRDefault="00F32366">
      <w:pPr>
        <w:rPr>
          <w:rFonts w:asciiTheme="majorHAnsi" w:eastAsiaTheme="majorEastAsia" w:hAnsiTheme="majorHAnsi" w:cstheme="majorBidi"/>
          <w:color w:val="1F4E79" w:themeColor="accent1" w:themeShade="80"/>
          <w:sz w:val="48"/>
          <w:szCs w:val="28"/>
        </w:rPr>
      </w:pPr>
      <w:r>
        <w:rPr>
          <w:color w:val="1F4E79" w:themeColor="accent1" w:themeShade="80"/>
          <w:sz w:val="48"/>
          <w:szCs w:val="28"/>
        </w:rPr>
        <w:br w:type="page"/>
      </w:r>
    </w:p>
    <w:p w14:paraId="423E996B" w14:textId="0C0C4B66" w:rsidR="00A1082F" w:rsidRPr="007214C3" w:rsidRDefault="0050101A" w:rsidP="002573A1">
      <w:pPr>
        <w:pStyle w:val="Heading1"/>
        <w:numPr>
          <w:ilvl w:val="0"/>
          <w:numId w:val="52"/>
        </w:numPr>
      </w:pPr>
      <w:bookmarkStart w:id="31" w:name="_Toc536626934"/>
      <w:bookmarkStart w:id="32" w:name="_Toc3459037"/>
      <w:r w:rsidRPr="007214C3">
        <w:lastRenderedPageBreak/>
        <w:t>O</w:t>
      </w:r>
      <w:r w:rsidR="00C824FF" w:rsidRPr="007214C3">
        <w:t>ngoing confidence</w:t>
      </w:r>
      <w:bookmarkEnd w:id="31"/>
      <w:bookmarkEnd w:id="32"/>
      <w:r w:rsidR="00C824FF" w:rsidRPr="007214C3">
        <w:t xml:space="preserve"> </w:t>
      </w:r>
    </w:p>
    <w:p w14:paraId="260AC673" w14:textId="6E7EF2DC" w:rsidR="006F4C9D" w:rsidRDefault="00C636F6" w:rsidP="00975F8B">
      <w:r>
        <w:t>Australia’s measurement laws include</w:t>
      </w:r>
      <w:r w:rsidR="00A1082F" w:rsidRPr="00F11A9A">
        <w:t xml:space="preserve"> a number of elements</w:t>
      </w:r>
      <w:r w:rsidR="00356F26">
        <w:t xml:space="preserve"> </w:t>
      </w:r>
      <w:r w:rsidR="00A1082F" w:rsidRPr="00F11A9A">
        <w:t xml:space="preserve">that aim to ensure ongoing confidence </w:t>
      </w:r>
      <w:r w:rsidR="00121279">
        <w:t>in</w:t>
      </w:r>
      <w:r w:rsidR="00121279" w:rsidRPr="005863B3">
        <w:t xml:space="preserve"> </w:t>
      </w:r>
      <w:r w:rsidR="00A1082F" w:rsidRPr="005863B3">
        <w:t>measuring instruments</w:t>
      </w:r>
      <w:r w:rsidR="00A1082F">
        <w:t>. These elements are discussed below.</w:t>
      </w:r>
    </w:p>
    <w:p w14:paraId="688D2866" w14:textId="6B598EB6" w:rsidR="0052623B" w:rsidRPr="007214C3" w:rsidRDefault="008C139E" w:rsidP="00135CAE">
      <w:pPr>
        <w:pStyle w:val="Heading2"/>
        <w:numPr>
          <w:ilvl w:val="1"/>
          <w:numId w:val="42"/>
        </w:numPr>
      </w:pPr>
      <w:bookmarkStart w:id="33" w:name="_Toc532223732"/>
      <w:bookmarkStart w:id="34" w:name="_Toc532394051"/>
      <w:bookmarkStart w:id="35" w:name="_Toc536626935"/>
      <w:bookmarkStart w:id="36" w:name="_Toc3459038"/>
      <w:r w:rsidRPr="007214C3">
        <w:t>Verification</w:t>
      </w:r>
      <w:bookmarkEnd w:id="33"/>
      <w:bookmarkEnd w:id="34"/>
      <w:bookmarkEnd w:id="35"/>
      <w:bookmarkEnd w:id="36"/>
    </w:p>
    <w:p w14:paraId="688D2867" w14:textId="7B6FDE2F" w:rsidR="00685B92" w:rsidRDefault="00685B92" w:rsidP="00975F8B">
      <w:r w:rsidRPr="00107995">
        <w:t>Verification</w:t>
      </w:r>
      <w:r>
        <w:rPr>
          <w:rStyle w:val="FootnoteReference"/>
          <w:rFonts w:cstheme="minorHAnsi"/>
          <w:sz w:val="20"/>
        </w:rPr>
        <w:footnoteReference w:id="15"/>
      </w:r>
      <w:r w:rsidRPr="00107995">
        <w:t xml:space="preserve"> </w:t>
      </w:r>
      <w:r>
        <w:t xml:space="preserve">is the process of testing the performance of a measuring instrument </w:t>
      </w:r>
      <w:r w:rsidR="00461270">
        <w:t xml:space="preserve">to be </w:t>
      </w:r>
      <w:r>
        <w:t xml:space="preserve">used for trade. It </w:t>
      </w:r>
      <w:r w:rsidRPr="00107995">
        <w:t xml:space="preserve">aims to ensure that individual measuring instruments operate </w:t>
      </w:r>
      <w:r>
        <w:t xml:space="preserve">within </w:t>
      </w:r>
      <w:r w:rsidR="007E5236">
        <w:t>legislated</w:t>
      </w:r>
      <w:r w:rsidR="00005341">
        <w:t xml:space="preserve"> error</w:t>
      </w:r>
      <w:r>
        <w:t xml:space="preserve"> limits. </w:t>
      </w:r>
      <w:r w:rsidR="005409F3">
        <w:t>M</w:t>
      </w:r>
      <w:r>
        <w:t xml:space="preserve">easuring instruments </w:t>
      </w:r>
      <w:r w:rsidR="00B02FEC">
        <w:t xml:space="preserve">intended for trade </w:t>
      </w:r>
      <w:r>
        <w:t>use must be verified before they can be used for trade in Australia</w:t>
      </w:r>
      <w:r w:rsidR="00CA6F1B">
        <w:rPr>
          <w:rStyle w:val="FootnoteReference"/>
          <w:rFonts w:cstheme="minorHAnsi"/>
          <w:sz w:val="20"/>
        </w:rPr>
        <w:footnoteReference w:id="16"/>
      </w:r>
      <w:r w:rsidR="003A3AD9">
        <w:t>.</w:t>
      </w:r>
    </w:p>
    <w:p w14:paraId="688D2868" w14:textId="6184756C" w:rsidR="00324089" w:rsidRPr="00107995" w:rsidRDefault="00324089" w:rsidP="00975F8B">
      <w:r w:rsidRPr="00107995">
        <w:t>Only measuring instruments of an approved pattern may be verified. Depending on the kind of instrument, verification</w:t>
      </w:r>
      <w:r>
        <w:t xml:space="preserve"> can be</w:t>
      </w:r>
      <w:r w:rsidRPr="00107995">
        <w:t xml:space="preserve"> performed at the manufacturer’s premise</w:t>
      </w:r>
      <w:r>
        <w:t>s</w:t>
      </w:r>
      <w:r w:rsidRPr="00107995">
        <w:t xml:space="preserve">, at a </w:t>
      </w:r>
      <w:r w:rsidR="00C46BE8">
        <w:t xml:space="preserve">third-party </w:t>
      </w:r>
      <w:r w:rsidRPr="00107995">
        <w:t>laboratory or on site.</w:t>
      </w:r>
      <w:r w:rsidRPr="00AE174E">
        <w:t xml:space="preserve"> </w:t>
      </w:r>
      <w:r w:rsidRPr="00107995">
        <w:t>While it is preferable to verify a measuring instrument in the actual location</w:t>
      </w:r>
      <w:r w:rsidR="00C46BE8">
        <w:t xml:space="preserve"> where</w:t>
      </w:r>
      <w:r w:rsidRPr="00107995">
        <w:t xml:space="preserve"> it will be used, this is not always practical.</w:t>
      </w:r>
      <w:r>
        <w:t xml:space="preserve"> </w:t>
      </w:r>
      <w:r w:rsidRPr="00107995">
        <w:t xml:space="preserve">If the instrument passes the </w:t>
      </w:r>
      <w:r>
        <w:t xml:space="preserve">verification </w:t>
      </w:r>
      <w:r w:rsidRPr="00107995">
        <w:t>test</w:t>
      </w:r>
      <w:r>
        <w:t>,</w:t>
      </w:r>
      <w:r w:rsidRPr="00107995">
        <w:t xml:space="preserve"> a verification mark</w:t>
      </w:r>
      <w:r w:rsidR="00C46BE8">
        <w:t xml:space="preserve"> is affixed to it</w:t>
      </w:r>
      <w:r w:rsidRPr="00107995">
        <w:t>. Alternatively, a verification certificate may be issued for some measuring instruments (such as utility meters).</w:t>
      </w:r>
    </w:p>
    <w:p w14:paraId="688D2869" w14:textId="5674B12A" w:rsidR="00324089" w:rsidRDefault="00324089" w:rsidP="00975F8B">
      <w:r w:rsidRPr="00107995">
        <w:t>Verification can be undertaken by</w:t>
      </w:r>
      <w:r>
        <w:t>:</w:t>
      </w:r>
    </w:p>
    <w:p w14:paraId="688D286A" w14:textId="6A94E999" w:rsidR="00324089" w:rsidRDefault="00324089" w:rsidP="00975F8B">
      <w:pPr>
        <w:pStyle w:val="ListParagraph"/>
        <w:numPr>
          <w:ilvl w:val="0"/>
          <w:numId w:val="15"/>
        </w:numPr>
      </w:pPr>
      <w:r>
        <w:t xml:space="preserve">a </w:t>
      </w:r>
      <w:r w:rsidRPr="00BF02C7">
        <w:t>trade measurement inspector</w:t>
      </w:r>
    </w:p>
    <w:p w14:paraId="688D286B" w14:textId="6DD28046" w:rsidR="00324089" w:rsidRPr="000E70E4" w:rsidRDefault="00324089" w:rsidP="00975F8B">
      <w:pPr>
        <w:pStyle w:val="ListParagraph"/>
        <w:numPr>
          <w:ilvl w:val="0"/>
          <w:numId w:val="15"/>
        </w:numPr>
      </w:pPr>
      <w:r>
        <w:t xml:space="preserve">a </w:t>
      </w:r>
      <w:r w:rsidRPr="000E70E4">
        <w:t>servicing licensee or an employee of a servicing licensee (verifier)</w:t>
      </w:r>
      <w:r w:rsidR="003F3B45">
        <w:t>,</w:t>
      </w:r>
      <w:r w:rsidRPr="000E70E4">
        <w:t xml:space="preserve"> and/or </w:t>
      </w:r>
    </w:p>
    <w:p w14:paraId="688D286C" w14:textId="77777777" w:rsidR="00324089" w:rsidRPr="00BF02C7" w:rsidRDefault="00324089" w:rsidP="00975F8B">
      <w:pPr>
        <w:pStyle w:val="ListParagraph"/>
        <w:numPr>
          <w:ilvl w:val="0"/>
          <w:numId w:val="15"/>
        </w:numPr>
      </w:pPr>
      <w:r w:rsidRPr="00BF02C7">
        <w:t xml:space="preserve">a utility meter verifier. </w:t>
      </w:r>
    </w:p>
    <w:p w14:paraId="4CAC9057" w14:textId="6F609BC0" w:rsidR="00271F8E" w:rsidRDefault="00324089" w:rsidP="00975F8B">
      <w:r>
        <w:t>There is no mandated fixed</w:t>
      </w:r>
      <w:r w:rsidRPr="00107995">
        <w:t xml:space="preserve"> re</w:t>
      </w:r>
      <w:r w:rsidR="00B10512">
        <w:t>-</w:t>
      </w:r>
      <w:r w:rsidRPr="00107995">
        <w:t>verification period</w:t>
      </w:r>
      <w:r>
        <w:t xml:space="preserve"> under Australia’s measurement laws</w:t>
      </w:r>
      <w:r w:rsidR="00B3616C">
        <w:t xml:space="preserve"> </w:t>
      </w:r>
      <w:r w:rsidR="003A3AD9">
        <w:t xml:space="preserve">except for </w:t>
      </w:r>
      <w:r w:rsidR="00B3616C">
        <w:t>public weighbridges</w:t>
      </w:r>
      <w:r w:rsidR="00CA6F1B">
        <w:rPr>
          <w:rStyle w:val="FootnoteReference"/>
          <w:rFonts w:cstheme="minorHAnsi"/>
          <w:sz w:val="20"/>
        </w:rPr>
        <w:footnoteReference w:id="17"/>
      </w:r>
      <w:r w:rsidR="003A3AD9">
        <w:t>.</w:t>
      </w:r>
      <w:r w:rsidRPr="00107995">
        <w:t xml:space="preserve"> </w:t>
      </w:r>
      <w:r w:rsidR="00271F8E" w:rsidRPr="008A10B6">
        <w:t xml:space="preserve">Businesses can maintain confidence in the </w:t>
      </w:r>
      <w:r w:rsidR="00106141">
        <w:t xml:space="preserve">ongoing </w:t>
      </w:r>
      <w:r w:rsidR="00271F8E" w:rsidRPr="008A10B6">
        <w:t xml:space="preserve">accuracy of their </w:t>
      </w:r>
      <w:r w:rsidR="00106141">
        <w:t xml:space="preserve">measuring </w:t>
      </w:r>
      <w:r w:rsidR="00271F8E" w:rsidRPr="008A10B6">
        <w:t xml:space="preserve">instruments through </w:t>
      </w:r>
      <w:r w:rsidR="00106141">
        <w:t xml:space="preserve">various </w:t>
      </w:r>
      <w:r w:rsidR="00271F8E" w:rsidRPr="008A10B6">
        <w:t>ways</w:t>
      </w:r>
      <w:r w:rsidR="00E22083">
        <w:t>,</w:t>
      </w:r>
      <w:r w:rsidR="00271F8E" w:rsidRPr="008A10B6">
        <w:t xml:space="preserve"> </w:t>
      </w:r>
      <w:r w:rsidR="00B77829">
        <w:t>including</w:t>
      </w:r>
      <w:r w:rsidR="00271F8E" w:rsidRPr="008A10B6">
        <w:t xml:space="preserve"> statistical models, verification history</w:t>
      </w:r>
      <w:r w:rsidR="00106141">
        <w:t xml:space="preserve"> including re-verification</w:t>
      </w:r>
      <w:r w:rsidR="00271F8E" w:rsidRPr="008A10B6">
        <w:t xml:space="preserve">, the fact that the instrument is pattern approved, overall instrument design, diagnostics </w:t>
      </w:r>
      <w:r w:rsidR="00B77829">
        <w:t xml:space="preserve">and </w:t>
      </w:r>
      <w:r w:rsidR="00271F8E" w:rsidRPr="008A10B6">
        <w:t>single point tests.</w:t>
      </w:r>
    </w:p>
    <w:p w14:paraId="688D286E" w14:textId="6843FE79" w:rsidR="00324089" w:rsidRDefault="00233E66" w:rsidP="00975F8B">
      <w:r>
        <w:t>In certain industries, t</w:t>
      </w:r>
      <w:r w:rsidR="00324089">
        <w:t xml:space="preserve">here </w:t>
      </w:r>
      <w:r>
        <w:t xml:space="preserve">has been </w:t>
      </w:r>
      <w:r w:rsidR="00324089">
        <w:t xml:space="preserve">a shift from businesses owning their measuring instruments to businesses leasing measuring instruments from suppliers/manufacturers under an in-service lease agreement. These agreements typically specify the periods of verification </w:t>
      </w:r>
      <w:r w:rsidR="0085350A">
        <w:t>for the instrument.</w:t>
      </w:r>
      <w:r w:rsidR="00324089">
        <w:t xml:space="preserve"> This change in market behaviour causes complexities </w:t>
      </w:r>
      <w:r w:rsidR="001968C5">
        <w:t>concerning</w:t>
      </w:r>
      <w:r w:rsidR="000D2BF8">
        <w:t xml:space="preserve"> </w:t>
      </w:r>
      <w:r w:rsidR="00324089">
        <w:t xml:space="preserve">the </w:t>
      </w:r>
      <w:r w:rsidR="002A5332">
        <w:t xml:space="preserve">perceived </w:t>
      </w:r>
      <w:r w:rsidR="00324089">
        <w:t>responsibilities for verification under the Act.</w:t>
      </w:r>
    </w:p>
    <w:p w14:paraId="688D286F" w14:textId="37525B6E" w:rsidR="008853B8" w:rsidRPr="00047526" w:rsidRDefault="008853B8" w:rsidP="008853B8">
      <w:pPr>
        <w:pStyle w:val="Casestudy"/>
        <w:rPr>
          <w:b/>
        </w:rPr>
      </w:pPr>
      <w:r w:rsidRPr="00047526">
        <w:rPr>
          <w:b/>
        </w:rPr>
        <w:t>International comparison</w:t>
      </w:r>
      <w:r w:rsidR="000C5A57">
        <w:rPr>
          <w:b/>
        </w:rPr>
        <w:t>: New Zealand’s Certificate of Accuracy</w:t>
      </w:r>
    </w:p>
    <w:p w14:paraId="688D2870" w14:textId="1C5F1969" w:rsidR="008853B8" w:rsidRPr="003875B6" w:rsidRDefault="008853B8" w:rsidP="008853B8">
      <w:pPr>
        <w:pStyle w:val="Casestudy"/>
      </w:pPr>
      <w:r w:rsidRPr="003875B6">
        <w:t>New Zealand requires measuring instrument</w:t>
      </w:r>
      <w:r w:rsidR="006B1D45">
        <w:t>s</w:t>
      </w:r>
      <w:r w:rsidRPr="003875B6">
        <w:t xml:space="preserve"> to be verified and stamped with a Mark of Verification by an Accredited Person before it can be used for trade. There are no requirements for periodic re</w:t>
      </w:r>
      <w:r w:rsidR="00845E41">
        <w:t>-</w:t>
      </w:r>
      <w:r w:rsidRPr="003875B6">
        <w:t xml:space="preserve">verification. Businesses using a measuring instrument for trade can ask an Accredited Person to issue a Certificate of Accuracy for the instrument. The certificate is a self-adhesive label that </w:t>
      </w:r>
      <w:r w:rsidR="0085350A" w:rsidRPr="003875B6">
        <w:t>cannot</w:t>
      </w:r>
      <w:r w:rsidRPr="003875B6">
        <w:t xml:space="preserve"> be removed without being destroyed and is valid for 12 months from the date of the test.</w:t>
      </w:r>
    </w:p>
    <w:p w14:paraId="688D2871" w14:textId="5B9D88A3" w:rsidR="008853B8" w:rsidRPr="003875B6" w:rsidRDefault="008853B8" w:rsidP="008853B8">
      <w:pPr>
        <w:pStyle w:val="Casestudy"/>
      </w:pPr>
      <w:r w:rsidRPr="003875B6">
        <w:t xml:space="preserve">Maintaining a current certificate is </w:t>
      </w:r>
      <w:r w:rsidR="0085350A" w:rsidRPr="003875B6">
        <w:t>voluntary;</w:t>
      </w:r>
      <w:r w:rsidRPr="003875B6">
        <w:t xml:space="preserve"> however</w:t>
      </w:r>
      <w:r w:rsidR="00D6666C">
        <w:t>,</w:t>
      </w:r>
      <w:r w:rsidRPr="003875B6">
        <w:t xml:space="preserve"> having one may provide a business with a defence if the instrument is found to be inaccurate. The defence is available where the instrument’s certificate is current and the operator or owner of the instrument </w:t>
      </w:r>
      <w:r w:rsidR="0085350A" w:rsidRPr="003875B6">
        <w:t>did not</w:t>
      </w:r>
      <w:r w:rsidRPr="003875B6">
        <w:t xml:space="preserve"> know or have any reason to suspect or believe the equipment was inaccurate.</w:t>
      </w:r>
    </w:p>
    <w:p w14:paraId="688D2872" w14:textId="59497AA9" w:rsidR="003875B6" w:rsidRPr="007214C3" w:rsidRDefault="003875B6" w:rsidP="00135CAE">
      <w:pPr>
        <w:pStyle w:val="Heading2"/>
        <w:numPr>
          <w:ilvl w:val="1"/>
          <w:numId w:val="42"/>
        </w:numPr>
      </w:pPr>
      <w:bookmarkStart w:id="37" w:name="_Toc532223733"/>
      <w:bookmarkStart w:id="38" w:name="_Toc532394052"/>
      <w:bookmarkStart w:id="39" w:name="_Toc536626936"/>
      <w:bookmarkStart w:id="40" w:name="_Toc3459039"/>
      <w:r w:rsidRPr="007214C3">
        <w:lastRenderedPageBreak/>
        <w:t>National Instrument Test Procedure (NITP)</w:t>
      </w:r>
      <w:bookmarkEnd w:id="37"/>
      <w:bookmarkEnd w:id="38"/>
      <w:bookmarkEnd w:id="39"/>
      <w:bookmarkEnd w:id="40"/>
    </w:p>
    <w:p w14:paraId="688D2873" w14:textId="13864D30" w:rsidR="00324089" w:rsidRPr="000A5365" w:rsidRDefault="00324089" w:rsidP="00975F8B">
      <w:r>
        <w:t>The legislation requires that v</w:t>
      </w:r>
      <w:r w:rsidRPr="00107995">
        <w:t xml:space="preserve">erification </w:t>
      </w:r>
      <w:r>
        <w:t xml:space="preserve">of trade measuring instruments </w:t>
      </w:r>
      <w:r w:rsidR="0085350A" w:rsidRPr="00107995">
        <w:t>be</w:t>
      </w:r>
      <w:r w:rsidR="00674ACF">
        <w:t xml:space="preserve"> </w:t>
      </w:r>
      <w:r w:rsidRPr="00107995">
        <w:t>undertaken in accordance with the relevant National Instrument Test Procedure (NITP)</w:t>
      </w:r>
      <w:r w:rsidR="00052454">
        <w:t xml:space="preserve"> </w:t>
      </w:r>
      <w:r>
        <w:t>developed and determined by the Chief Metrologist</w:t>
      </w:r>
      <w:r w:rsidR="00BD7E6E">
        <w:rPr>
          <w:rStyle w:val="FootnoteReference"/>
          <w:rFonts w:cstheme="minorHAnsi"/>
          <w:sz w:val="20"/>
        </w:rPr>
        <w:footnoteReference w:id="18"/>
      </w:r>
      <w:r w:rsidR="003A3AD9">
        <w:t>.</w:t>
      </w:r>
      <w:r>
        <w:t xml:space="preserve"> </w:t>
      </w:r>
      <w:r w:rsidRPr="00107995">
        <w:t xml:space="preserve">There are </w:t>
      </w:r>
      <w:r w:rsidRPr="000A5365">
        <w:t xml:space="preserve">currently </w:t>
      </w:r>
      <w:r w:rsidR="004A0F90" w:rsidRPr="000A5365">
        <w:t>24</w:t>
      </w:r>
      <w:r w:rsidRPr="000A5365">
        <w:t xml:space="preserve"> </w:t>
      </w:r>
      <w:hyperlink r:id="rId23" w:history="1">
        <w:r w:rsidRPr="000A5365">
          <w:rPr>
            <w:rStyle w:val="Hyperlink"/>
          </w:rPr>
          <w:t>published</w:t>
        </w:r>
      </w:hyperlink>
      <w:r w:rsidRPr="000A5365">
        <w:t xml:space="preserve"> NITPs covering a range of categories or classes of measuring instrument used for trade in Australia.</w:t>
      </w:r>
    </w:p>
    <w:p w14:paraId="688D2874" w14:textId="0D337A5D" w:rsidR="007D2B36" w:rsidRPr="00860E86" w:rsidRDefault="00C33F91" w:rsidP="00975F8B">
      <w:r w:rsidRPr="000A5365">
        <w:t xml:space="preserve">Servicing </w:t>
      </w:r>
      <w:r w:rsidR="00B679A9" w:rsidRPr="000A5365">
        <w:t>l</w:t>
      </w:r>
      <w:r w:rsidRPr="000A5365">
        <w:t xml:space="preserve">icensees, </w:t>
      </w:r>
      <w:r w:rsidR="00B679A9" w:rsidRPr="000A5365">
        <w:t>v</w:t>
      </w:r>
      <w:r w:rsidRPr="000A5365">
        <w:t xml:space="preserve">erifiers and </w:t>
      </w:r>
      <w:r w:rsidR="00B679A9" w:rsidRPr="000A5365">
        <w:t>t</w:t>
      </w:r>
      <w:r w:rsidRPr="000A5365">
        <w:t xml:space="preserve">rade </w:t>
      </w:r>
      <w:r w:rsidR="00B679A9" w:rsidRPr="000A5365">
        <w:t>m</w:t>
      </w:r>
      <w:r w:rsidRPr="000A5365">
        <w:t xml:space="preserve">easurement </w:t>
      </w:r>
      <w:r w:rsidR="00B679A9" w:rsidRPr="000A5365">
        <w:t>i</w:t>
      </w:r>
      <w:r w:rsidRPr="000A5365">
        <w:t xml:space="preserve">nspectors use </w:t>
      </w:r>
      <w:r w:rsidR="007D2B36" w:rsidRPr="000A5365">
        <w:t>the NITPs</w:t>
      </w:r>
      <w:r w:rsidR="007D2B36" w:rsidRPr="00860E86">
        <w:t xml:space="preserve"> </w:t>
      </w:r>
      <w:r w:rsidR="007D2B36">
        <w:t>to verify</w:t>
      </w:r>
      <w:r w:rsidR="007D2B36" w:rsidRPr="00860E86">
        <w:t xml:space="preserve"> measuring instruments</w:t>
      </w:r>
      <w:r w:rsidR="007D2B36">
        <w:t xml:space="preserve"> used for trade</w:t>
      </w:r>
      <w:r w:rsidR="007D2B36" w:rsidRPr="00860E86">
        <w:t>.</w:t>
      </w:r>
      <w:r w:rsidR="007D2B36">
        <w:t xml:space="preserve"> </w:t>
      </w:r>
      <w:r w:rsidR="007D2B36" w:rsidRPr="00860E86">
        <w:t>Public consultations undertaken in June 2015</w:t>
      </w:r>
      <w:r w:rsidR="007D2B36">
        <w:rPr>
          <w:rStyle w:val="FootnoteReference"/>
          <w:rFonts w:cstheme="minorHAnsi"/>
          <w:sz w:val="20"/>
        </w:rPr>
        <w:footnoteReference w:id="19"/>
      </w:r>
      <w:r w:rsidR="007D2B36" w:rsidRPr="00860E86">
        <w:t xml:space="preserve"> identified that</w:t>
      </w:r>
      <w:r w:rsidR="00DE4472">
        <w:t xml:space="preserve"> the</w:t>
      </w:r>
      <w:r w:rsidR="007D2B36" w:rsidRPr="00860E86">
        <w:t xml:space="preserve"> </w:t>
      </w:r>
      <w:r w:rsidR="00DE4472">
        <w:t>m</w:t>
      </w:r>
      <w:r w:rsidR="00DE4472" w:rsidRPr="0030755B">
        <w:t xml:space="preserve">ajority of the </w:t>
      </w:r>
      <w:r w:rsidR="00C47AA9">
        <w:t>s</w:t>
      </w:r>
      <w:r w:rsidR="00DE4472">
        <w:t xml:space="preserve">ervicing </w:t>
      </w:r>
      <w:r w:rsidR="00C47AA9">
        <w:t>l</w:t>
      </w:r>
      <w:r w:rsidR="00DE4472">
        <w:t xml:space="preserve">icensee </w:t>
      </w:r>
      <w:r w:rsidR="00DE4472" w:rsidRPr="0030755B">
        <w:t>industry supported maintaining mandatory test procedures</w:t>
      </w:r>
      <w:r w:rsidR="007D2B36" w:rsidRPr="00860E86">
        <w:t>.</w:t>
      </w:r>
    </w:p>
    <w:p w14:paraId="688D2875" w14:textId="6B683964" w:rsidR="007D2B36" w:rsidRPr="00BF02C7" w:rsidRDefault="007D2B36" w:rsidP="00975F8B">
      <w:r w:rsidRPr="00BF02C7">
        <w:t>For measuring instruments using new and emerging technolog</w:t>
      </w:r>
      <w:r w:rsidR="005A79BD">
        <w:t>ies</w:t>
      </w:r>
      <w:r w:rsidRPr="00BF02C7">
        <w:t xml:space="preserve">, the requirement </w:t>
      </w:r>
      <w:r w:rsidR="005329F2">
        <w:t>to</w:t>
      </w:r>
      <w:r w:rsidR="005329F2" w:rsidRPr="00BF02C7">
        <w:t xml:space="preserve"> </w:t>
      </w:r>
      <w:r w:rsidRPr="00BF02C7">
        <w:t>test an instrument against an NITP presents</w:t>
      </w:r>
      <w:r w:rsidR="00672072">
        <w:t xml:space="preserve"> challenges</w:t>
      </w:r>
      <w:r w:rsidRPr="00BF02C7">
        <w:t>. Where there is no existing NITP, test procedures need to be developed and published to satisfy the verification requ</w:t>
      </w:r>
      <w:r w:rsidR="00F430BC">
        <w:t>irements under the legislation.</w:t>
      </w:r>
    </w:p>
    <w:p w14:paraId="688D2876" w14:textId="55D4B16D" w:rsidR="00685B92" w:rsidRDefault="00086A0B" w:rsidP="00975F8B">
      <w:r>
        <w:t xml:space="preserve">As noted above, </w:t>
      </w:r>
      <w:r w:rsidR="007711F7">
        <w:t>NITPs are developed and determined by the Chief Metrologist</w:t>
      </w:r>
      <w:r w:rsidR="007711F7" w:rsidRPr="00107995">
        <w:t xml:space="preserve"> under </w:t>
      </w:r>
      <w:r w:rsidR="007711F7">
        <w:t>Australia’s measurement laws</w:t>
      </w:r>
      <w:r w:rsidR="004A0F90">
        <w:rPr>
          <w:rStyle w:val="FootnoteReference"/>
          <w:rFonts w:cstheme="minorHAnsi"/>
          <w:sz w:val="20"/>
        </w:rPr>
        <w:footnoteReference w:id="20"/>
      </w:r>
      <w:r w:rsidR="00DA5DEA">
        <w:t>.</w:t>
      </w:r>
      <w:r w:rsidR="007711F7">
        <w:t xml:space="preserve"> </w:t>
      </w:r>
      <w:r w:rsidR="0085350A">
        <w:t>However,</w:t>
      </w:r>
      <w:r w:rsidR="007711F7">
        <w:t xml:space="preserve"> t</w:t>
      </w:r>
      <w:r w:rsidR="007711F7" w:rsidRPr="00107995">
        <w:t xml:space="preserve">he mandatory use of NITPs </w:t>
      </w:r>
      <w:r w:rsidR="007711F7">
        <w:t xml:space="preserve">may place a </w:t>
      </w:r>
      <w:r w:rsidR="007711F7" w:rsidRPr="00107995">
        <w:t>regulatory burden on industry.</w:t>
      </w:r>
      <w:r w:rsidR="007711F7">
        <w:t xml:space="preserve"> </w:t>
      </w:r>
      <w:r w:rsidR="007711F7" w:rsidRPr="00860E86">
        <w:t xml:space="preserve">Removing the need to wait for the </w:t>
      </w:r>
      <w:r w:rsidR="009E07F6">
        <w:t xml:space="preserve">Chief Metrologist </w:t>
      </w:r>
      <w:r w:rsidR="007711F7" w:rsidRPr="00860E86">
        <w:t xml:space="preserve">to develop and publish the relevant NITP for new measuring instruments may reduce potential delays </w:t>
      </w:r>
      <w:r w:rsidR="007711F7">
        <w:t xml:space="preserve">and </w:t>
      </w:r>
      <w:r w:rsidR="007711F7" w:rsidRPr="00860E86">
        <w:t xml:space="preserve">costs to businesses. </w:t>
      </w:r>
      <w:r w:rsidR="00685B92">
        <w:t>Although NITPs provide advantages such as clarity of requirements</w:t>
      </w:r>
      <w:r w:rsidR="00672072">
        <w:t>, consistency in test methods</w:t>
      </w:r>
      <w:r w:rsidR="00685B92">
        <w:t xml:space="preserve"> and a level playing field for</w:t>
      </w:r>
      <w:r w:rsidR="00ED09E1">
        <w:t xml:space="preserve"> licensees and</w:t>
      </w:r>
      <w:r w:rsidR="00685B92">
        <w:t xml:space="preserve"> small local manufacturers</w:t>
      </w:r>
      <w:r w:rsidR="003A047C">
        <w:t>,</w:t>
      </w:r>
      <w:r w:rsidR="00685B92">
        <w:t xml:space="preserve"> </w:t>
      </w:r>
      <w:r w:rsidR="001968C5">
        <w:t>some</w:t>
      </w:r>
      <w:r w:rsidR="00685B92" w:rsidRPr="00107995">
        <w:t xml:space="preserve"> alternative approaches to mandatory NITPs </w:t>
      </w:r>
      <w:r w:rsidR="00555EEA">
        <w:t>exist, such as</w:t>
      </w:r>
      <w:r w:rsidR="00685B92">
        <w:t>:</w:t>
      </w:r>
    </w:p>
    <w:p w14:paraId="688D2877" w14:textId="0AFB78A2" w:rsidR="00685B92" w:rsidRDefault="00685B92">
      <w:pPr>
        <w:pStyle w:val="ListParagraph"/>
        <w:numPr>
          <w:ilvl w:val="0"/>
          <w:numId w:val="16"/>
        </w:numPr>
      </w:pPr>
      <w:r>
        <w:t xml:space="preserve">modification of the procedures or legislation to allow </w:t>
      </w:r>
      <w:r w:rsidR="00ED09E1">
        <w:t xml:space="preserve">licensees (and </w:t>
      </w:r>
      <w:r>
        <w:t>manufacturers</w:t>
      </w:r>
      <w:r w:rsidR="00ED09E1">
        <w:t>)</w:t>
      </w:r>
      <w:r>
        <w:t xml:space="preserve"> to develop their own verification test procedures for review </w:t>
      </w:r>
      <w:r w:rsidR="00ED7321">
        <w:t xml:space="preserve">(which may include </w:t>
      </w:r>
      <w:r>
        <w:t xml:space="preserve">approval by </w:t>
      </w:r>
      <w:r w:rsidR="003A047C">
        <w:t>the Chief Metrologist</w:t>
      </w:r>
      <w:r w:rsidR="00ED7321">
        <w:t>)</w:t>
      </w:r>
      <w:r w:rsidR="003F3B45">
        <w:t>,</w:t>
      </w:r>
      <w:r w:rsidR="00555EEA">
        <w:t xml:space="preserve"> and</w:t>
      </w:r>
    </w:p>
    <w:p w14:paraId="688D2878" w14:textId="77777777" w:rsidR="00685B92" w:rsidRPr="00BF02C7" w:rsidRDefault="00685B92" w:rsidP="00975F8B">
      <w:pPr>
        <w:pStyle w:val="ListParagraph"/>
        <w:numPr>
          <w:ilvl w:val="0"/>
          <w:numId w:val="16"/>
        </w:numPr>
      </w:pPr>
      <w:r w:rsidRPr="00BF02C7">
        <w:t>allow</w:t>
      </w:r>
      <w:r>
        <w:t>ing</w:t>
      </w:r>
      <w:r w:rsidRPr="00BF02C7">
        <w:t xml:space="preserve"> certain low-risk measuring instruments to be in the market </w:t>
      </w:r>
      <w:r>
        <w:t xml:space="preserve">under provisional arrangements </w:t>
      </w:r>
      <w:r w:rsidRPr="00BF02C7">
        <w:t>while relevant procedures and approvals are developed.</w:t>
      </w:r>
    </w:p>
    <w:p w14:paraId="688D2879" w14:textId="4045E597" w:rsidR="00685B92" w:rsidRPr="004420A9" w:rsidRDefault="00685B92" w:rsidP="00CA6102">
      <w:pPr>
        <w:pStyle w:val="Casestudy"/>
        <w:rPr>
          <w:szCs w:val="20"/>
        </w:rPr>
      </w:pPr>
      <w:r w:rsidRPr="004420A9">
        <w:rPr>
          <w:b/>
          <w:szCs w:val="20"/>
        </w:rPr>
        <w:t xml:space="preserve">Case </w:t>
      </w:r>
      <w:r w:rsidR="000C5A57" w:rsidRPr="004420A9">
        <w:rPr>
          <w:b/>
          <w:szCs w:val="20"/>
        </w:rPr>
        <w:t>S</w:t>
      </w:r>
      <w:r w:rsidRPr="004420A9">
        <w:rPr>
          <w:b/>
          <w:szCs w:val="20"/>
        </w:rPr>
        <w:t>tudy</w:t>
      </w:r>
      <w:r w:rsidR="000C5A57" w:rsidRPr="004420A9">
        <w:rPr>
          <w:b/>
          <w:szCs w:val="20"/>
        </w:rPr>
        <w:t>:</w:t>
      </w:r>
      <w:r w:rsidR="00A3288B" w:rsidRPr="004420A9">
        <w:rPr>
          <w:b/>
          <w:szCs w:val="20"/>
        </w:rPr>
        <w:t xml:space="preserve"> </w:t>
      </w:r>
      <w:r w:rsidRPr="004420A9">
        <w:rPr>
          <w:b/>
          <w:szCs w:val="20"/>
        </w:rPr>
        <w:t>Delays to market for new and emerging technology</w:t>
      </w:r>
      <w:r w:rsidR="00AD595D" w:rsidRPr="004420A9">
        <w:rPr>
          <w:b/>
          <w:szCs w:val="20"/>
        </w:rPr>
        <w:t xml:space="preserve"> – </w:t>
      </w:r>
      <w:r w:rsidRPr="004420A9">
        <w:rPr>
          <w:b/>
          <w:szCs w:val="20"/>
        </w:rPr>
        <w:t>NITPs</w:t>
      </w:r>
    </w:p>
    <w:p w14:paraId="688D287A" w14:textId="7A75A44A" w:rsidR="00CA6102" w:rsidRPr="00CA6102" w:rsidRDefault="006D4B69" w:rsidP="00CA6102">
      <w:pPr>
        <w:pStyle w:val="Casestudy"/>
      </w:pPr>
      <w:r>
        <w:t>I</w:t>
      </w:r>
      <w:r w:rsidR="00CA6102" w:rsidRPr="00CA6102">
        <w:t xml:space="preserve">nnovation in the </w:t>
      </w:r>
      <w:r w:rsidR="006304D3">
        <w:t xml:space="preserve">weighing </w:t>
      </w:r>
      <w:r w:rsidR="00CA6102" w:rsidRPr="00CA6102">
        <w:t>technology used for waste disposal trucks (wheeled loader</w:t>
      </w:r>
      <w:r w:rsidR="00C94B62">
        <w:t xml:space="preserve"> weighing devices</w:t>
      </w:r>
      <w:r w:rsidR="00CA6102" w:rsidRPr="00CA6102">
        <w:t xml:space="preserve">) resulted </w:t>
      </w:r>
      <w:r w:rsidR="001968C5">
        <w:t xml:space="preserve">in </w:t>
      </w:r>
      <w:r w:rsidR="00C7702A" w:rsidRPr="00CA6102">
        <w:t xml:space="preserve">new types of measuring instruments </w:t>
      </w:r>
      <w:r w:rsidR="00C7702A">
        <w:t xml:space="preserve">to which </w:t>
      </w:r>
      <w:r w:rsidR="00CA6102" w:rsidRPr="00CA6102">
        <w:t>existing NITPs</w:t>
      </w:r>
      <w:r w:rsidR="00EE52DE">
        <w:t xml:space="preserve"> </w:t>
      </w:r>
      <w:r w:rsidR="00C7702A">
        <w:t>did not apply</w:t>
      </w:r>
      <w:r w:rsidR="00CA6102" w:rsidRPr="00CA6102">
        <w:t xml:space="preserve">. As a result, a new NITP </w:t>
      </w:r>
      <w:r w:rsidR="00CD397F">
        <w:t>needed</w:t>
      </w:r>
      <w:r w:rsidR="00CA6102" w:rsidRPr="00CA6102">
        <w:t xml:space="preserve"> to be developed by NMI. As the process to develop the new NITP (NITP 6.8) took approximately </w:t>
      </w:r>
      <w:r w:rsidR="00FD4E9B">
        <w:t>two</w:t>
      </w:r>
      <w:r w:rsidR="00CA6102" w:rsidRPr="00CA6102">
        <w:t xml:space="preserve"> years, there was a significant market delay for the technology to be used </w:t>
      </w:r>
      <w:r w:rsidR="001A3B62">
        <w:t xml:space="preserve">for trade purposes in </w:t>
      </w:r>
      <w:r w:rsidR="00CA6102" w:rsidRPr="00CA6102">
        <w:t>Australia.</w:t>
      </w:r>
    </w:p>
    <w:p w14:paraId="167B7F52" w14:textId="76965B2E" w:rsidR="00C824FF" w:rsidRPr="007214C3" w:rsidRDefault="00D44BCA" w:rsidP="00135CAE">
      <w:pPr>
        <w:pStyle w:val="Heading2"/>
        <w:numPr>
          <w:ilvl w:val="1"/>
          <w:numId w:val="42"/>
        </w:numPr>
      </w:pPr>
      <w:bookmarkStart w:id="41" w:name="_Toc536626937"/>
      <w:bookmarkStart w:id="42" w:name="_Toc3459040"/>
      <w:bookmarkStart w:id="43" w:name="_Toc532223734"/>
      <w:bookmarkStart w:id="44" w:name="_Toc532394053"/>
      <w:r w:rsidRPr="007214C3">
        <w:t>Pattern compliance</w:t>
      </w:r>
      <w:bookmarkEnd w:id="41"/>
      <w:bookmarkEnd w:id="42"/>
    </w:p>
    <w:p w14:paraId="1AD033F9" w14:textId="658C5DCC" w:rsidR="00C824FF" w:rsidRPr="00DF1542" w:rsidRDefault="00C824FF" w:rsidP="00975F8B">
      <w:pPr>
        <w:rPr>
          <w:szCs w:val="20"/>
        </w:rPr>
      </w:pPr>
      <w:r w:rsidRPr="00107995">
        <w:t>Australia’s measurement framework also provides for</w:t>
      </w:r>
      <w:r>
        <w:t xml:space="preserve"> the Chief Metrologist to examine whether a measuring instrument complies with its approved pattern</w:t>
      </w:r>
      <w:r w:rsidR="00555EEA">
        <w:rPr>
          <w:rStyle w:val="FootnoteReference"/>
          <w:rFonts w:cstheme="minorHAnsi"/>
          <w:sz w:val="20"/>
        </w:rPr>
        <w:footnoteReference w:id="21"/>
      </w:r>
      <w:r>
        <w:t>.</w:t>
      </w:r>
      <w:r w:rsidR="00032F38">
        <w:t xml:space="preserve"> </w:t>
      </w:r>
      <w:r w:rsidR="00DF1542" w:rsidDel="007877AB">
        <w:rPr>
          <w:szCs w:val="20"/>
        </w:rPr>
        <w:t>This is a form of post-market surveillance.</w:t>
      </w:r>
    </w:p>
    <w:p w14:paraId="7DB6C5F1" w14:textId="5BA78367" w:rsidR="000C02D2" w:rsidRDefault="00C824FF" w:rsidP="00975F8B">
      <w:r>
        <w:t xml:space="preserve">The requirement under the current legislation is for the Chief Metrologist to have the measuring instrument in their possession to examine it </w:t>
      </w:r>
      <w:r w:rsidR="00ED7321">
        <w:t xml:space="preserve">and </w:t>
      </w:r>
      <w:r>
        <w:t>ascertain w</w:t>
      </w:r>
      <w:r w:rsidR="00CD7125">
        <w:t>he</w:t>
      </w:r>
      <w:r>
        <w:t>ther the instrument complies</w:t>
      </w:r>
      <w:r w:rsidR="00CD7125">
        <w:t xml:space="preserve"> with the approved pattern</w:t>
      </w:r>
      <w:r>
        <w:t>. If</w:t>
      </w:r>
      <w:r w:rsidR="00ED7321">
        <w:t xml:space="preserve"> </w:t>
      </w:r>
      <w:r>
        <w:t>the instrument is found not to comply with the approved pattern</w:t>
      </w:r>
      <w:r w:rsidR="001968C5">
        <w:t>,</w:t>
      </w:r>
      <w:r>
        <w:t xml:space="preserve"> then the Chief Metrologist may</w:t>
      </w:r>
      <w:r w:rsidR="008425B5">
        <w:t xml:space="preserve"> decide to</w:t>
      </w:r>
      <w:r>
        <w:t xml:space="preserve"> withdraw or cancel the approval for all instruments operating under that pattern. </w:t>
      </w:r>
      <w:r w:rsidR="00DF1542">
        <w:t>To date</w:t>
      </w:r>
      <w:r w:rsidR="005F0CE8">
        <w:t>,</w:t>
      </w:r>
      <w:r w:rsidR="00DF1542">
        <w:t xml:space="preserve"> this form of post-market compliance has not been widely used by the Chief Metrologist.</w:t>
      </w:r>
    </w:p>
    <w:p w14:paraId="1AF74443" w14:textId="4A8189AE" w:rsidR="00C824FF" w:rsidRPr="0030755B" w:rsidRDefault="00C824FF" w:rsidP="00C824FF">
      <w:pPr>
        <w:pStyle w:val="Casestudy"/>
        <w:rPr>
          <w:b/>
        </w:rPr>
      </w:pPr>
      <w:r w:rsidRPr="0030755B">
        <w:rPr>
          <w:b/>
        </w:rPr>
        <w:lastRenderedPageBreak/>
        <w:t>International Comparison</w:t>
      </w:r>
      <w:r w:rsidR="005F0CE8">
        <w:rPr>
          <w:b/>
        </w:rPr>
        <w:t xml:space="preserve">: </w:t>
      </w:r>
      <w:r>
        <w:rPr>
          <w:b/>
        </w:rPr>
        <w:t>Conformity to Type (CTT)</w:t>
      </w:r>
    </w:p>
    <w:p w14:paraId="1B02805B" w14:textId="69154A28" w:rsidR="00C824FF" w:rsidRPr="008A62C2" w:rsidRDefault="00C824FF" w:rsidP="00C824FF">
      <w:pPr>
        <w:pStyle w:val="Casestudy"/>
        <w:rPr>
          <w:rFonts w:cstheme="minorHAnsi"/>
        </w:rPr>
      </w:pPr>
      <w:r w:rsidRPr="008D55D6">
        <w:t>Th</w:t>
      </w:r>
      <w:r>
        <w:t>e</w:t>
      </w:r>
      <w:r w:rsidRPr="008D55D6">
        <w:t xml:space="preserve"> process </w:t>
      </w:r>
      <w:r>
        <w:t xml:space="preserve">of assessing whether an instrument complies with an approved pattern </w:t>
      </w:r>
      <w:r w:rsidRPr="008D55D6">
        <w:t xml:space="preserve">has </w:t>
      </w:r>
      <w:r>
        <w:t xml:space="preserve">some </w:t>
      </w:r>
      <w:r w:rsidRPr="008D55D6">
        <w:t xml:space="preserve">similarities to the process of </w:t>
      </w:r>
      <w:r>
        <w:t>CTT undertaken in some overseas jurisdictions</w:t>
      </w:r>
      <w:r w:rsidRPr="008D55D6">
        <w:t xml:space="preserve">. </w:t>
      </w:r>
      <w:r>
        <w:t>For example, u</w:t>
      </w:r>
      <w:r w:rsidRPr="008D55D6">
        <w:t xml:space="preserve">nder the </w:t>
      </w:r>
      <w:r w:rsidRPr="00376700">
        <w:t xml:space="preserve">CTT process </w:t>
      </w:r>
      <w:r>
        <w:t xml:space="preserve">of </w:t>
      </w:r>
      <w:r w:rsidRPr="00376700">
        <w:t xml:space="preserve">the EU’s MID, </w:t>
      </w:r>
      <w:r w:rsidRPr="008F7971">
        <w:t xml:space="preserve">instruments are </w:t>
      </w:r>
      <w:r>
        <w:t>assessed to determine whether</w:t>
      </w:r>
      <w:r w:rsidRPr="008F7971">
        <w:t xml:space="preserve"> </w:t>
      </w:r>
      <w:r w:rsidRPr="00B3616C">
        <w:t xml:space="preserve">they conform to type based on </w:t>
      </w:r>
      <w:r w:rsidRPr="00C21639">
        <w:t xml:space="preserve">a range of </w:t>
      </w:r>
      <w:r w:rsidRPr="00ED7169">
        <w:t>alternative</w:t>
      </w:r>
      <w:r w:rsidRPr="003569B7">
        <w:t xml:space="preserve"> </w:t>
      </w:r>
      <w:r w:rsidRPr="00AE77BE">
        <w:t>methods, including assessment against certain</w:t>
      </w:r>
      <w:r w:rsidRPr="00866B95">
        <w:t xml:space="preserve"> controls, production assurances or quality assurances</w:t>
      </w:r>
      <w:r w:rsidR="008425B5" w:rsidRPr="0030755B">
        <w:rPr>
          <w:rStyle w:val="FootnoteReference"/>
        </w:rPr>
        <w:footnoteReference w:id="22"/>
      </w:r>
      <w:r w:rsidRPr="00866B95">
        <w:t>.</w:t>
      </w:r>
      <w:r w:rsidRPr="008D55D6">
        <w:t xml:space="preserve"> This </w:t>
      </w:r>
      <w:r>
        <w:t xml:space="preserve">CTT </w:t>
      </w:r>
      <w:r w:rsidRPr="008D55D6">
        <w:t xml:space="preserve">process </w:t>
      </w:r>
      <w:r>
        <w:t>minimises</w:t>
      </w:r>
      <w:r w:rsidRPr="008D55D6">
        <w:t xml:space="preserve"> delays in time-to-market for the manufacturer because the assessments typically occur after products go to market.</w:t>
      </w:r>
    </w:p>
    <w:p w14:paraId="46DBEE08" w14:textId="39D52F6C" w:rsidR="0021768A" w:rsidRDefault="00DF1542" w:rsidP="00975F8B">
      <w:r w:rsidRPr="00847226">
        <w:t xml:space="preserve">NMI has worked with the </w:t>
      </w:r>
      <w:r>
        <w:t xml:space="preserve">Australian </w:t>
      </w:r>
      <w:r w:rsidRPr="00847226">
        <w:t xml:space="preserve">water-metering sector to develop a voluntary code of practice </w:t>
      </w:r>
      <w:r>
        <w:t>and coordinates</w:t>
      </w:r>
      <w:r w:rsidRPr="00847226">
        <w:t xml:space="preserve"> a national pattern compliance program for water </w:t>
      </w:r>
      <w:r w:rsidR="00C636F6" w:rsidRPr="00847226">
        <w:t>meters that</w:t>
      </w:r>
      <w:r w:rsidRPr="00847226">
        <w:t xml:space="preserve"> </w:t>
      </w:r>
      <w:r>
        <w:t xml:space="preserve">have existing pattern approvals. This approach involves the checking of </w:t>
      </w:r>
      <w:r w:rsidRPr="003653F6">
        <w:t xml:space="preserve">production water meters </w:t>
      </w:r>
      <w:r>
        <w:t xml:space="preserve">and </w:t>
      </w:r>
      <w:r w:rsidR="00D60939">
        <w:t xml:space="preserve">is </w:t>
      </w:r>
      <w:r>
        <w:t>based on a CTT mode</w:t>
      </w:r>
      <w:r w:rsidR="0086027B">
        <w:t>l.</w:t>
      </w:r>
    </w:p>
    <w:p w14:paraId="688D287C" w14:textId="569B9062" w:rsidR="00F153EB" w:rsidRPr="007214C3" w:rsidRDefault="00F153EB" w:rsidP="00135CAE">
      <w:pPr>
        <w:pStyle w:val="Heading2"/>
        <w:numPr>
          <w:ilvl w:val="1"/>
          <w:numId w:val="42"/>
        </w:numPr>
      </w:pPr>
      <w:bookmarkStart w:id="45" w:name="_Toc3459041"/>
      <w:r w:rsidRPr="00135CAE">
        <w:t>Certification</w:t>
      </w:r>
      <w:bookmarkEnd w:id="43"/>
      <w:bookmarkEnd w:id="44"/>
      <w:bookmarkEnd w:id="45"/>
    </w:p>
    <w:p w14:paraId="688D287D" w14:textId="29E008F8" w:rsidR="00324089" w:rsidRDefault="00324089" w:rsidP="00975F8B">
      <w:r>
        <w:t xml:space="preserve">Certification is the process of ensuring the accuracy of legal measuring instruments and is undertaken by </w:t>
      </w:r>
      <w:r w:rsidR="00987F44">
        <w:t xml:space="preserve">the Chief Metrologist or other </w:t>
      </w:r>
      <w:r>
        <w:t>Certifying Authorities appointed by the Chief Metrologist</w:t>
      </w:r>
      <w:r w:rsidR="00794ECF">
        <w:rPr>
          <w:rStyle w:val="FootnoteReference"/>
          <w:rFonts w:cstheme="minorHAnsi"/>
          <w:sz w:val="20"/>
          <w:szCs w:val="20"/>
        </w:rPr>
        <w:footnoteReference w:id="23"/>
      </w:r>
      <w:r>
        <w:t>.</w:t>
      </w:r>
      <w:r w:rsidRPr="00186ADF">
        <w:t xml:space="preserve"> </w:t>
      </w:r>
      <w:r w:rsidRPr="00C2684C">
        <w:rPr>
          <w:rStyle w:val="CommentReference"/>
          <w:sz w:val="22"/>
          <w:szCs w:val="20"/>
        </w:rPr>
        <w:t>Commonwealth, state and territory</w:t>
      </w:r>
      <w:r w:rsidRPr="00C2684C">
        <w:rPr>
          <w:sz w:val="24"/>
        </w:rPr>
        <w:t xml:space="preserve"> </w:t>
      </w:r>
      <w:r w:rsidR="009670D1">
        <w:t>legislators</w:t>
      </w:r>
      <w:r w:rsidR="009670D1" w:rsidRPr="00186ADF">
        <w:t xml:space="preserve"> </w:t>
      </w:r>
      <w:r w:rsidRPr="00186ADF">
        <w:t xml:space="preserve">may use </w:t>
      </w:r>
      <w:r w:rsidR="00D20E0A">
        <w:t xml:space="preserve">the </w:t>
      </w:r>
      <w:r w:rsidRPr="00186ADF">
        <w:t>Australia</w:t>
      </w:r>
      <w:r w:rsidR="00D20E0A">
        <w:t>n</w:t>
      </w:r>
      <w:r w:rsidRPr="00186ADF">
        <w:t xml:space="preserve"> </w:t>
      </w:r>
      <w:r w:rsidR="00D20E0A">
        <w:t>Commonwealth law</w:t>
      </w:r>
      <w:r w:rsidR="009670D1">
        <w:t>s</w:t>
      </w:r>
      <w:r w:rsidRPr="00186ADF">
        <w:t xml:space="preserve"> </w:t>
      </w:r>
      <w:r>
        <w:t xml:space="preserve">to ensure the suitability and accuracy of legal measuring instruments used in law enforcement (e.g. </w:t>
      </w:r>
      <w:r w:rsidR="003F5401">
        <w:t xml:space="preserve">evidential </w:t>
      </w:r>
      <w:r>
        <w:t>breath</w:t>
      </w:r>
      <w:r w:rsidR="003F5401">
        <w:t xml:space="preserve"> </w:t>
      </w:r>
      <w:r>
        <w:t>a</w:t>
      </w:r>
      <w:r w:rsidR="003F5401">
        <w:t>na</w:t>
      </w:r>
      <w:r>
        <w:t xml:space="preserve">lysers) or for demonstrating compliance with a law </w:t>
      </w:r>
      <w:r w:rsidRPr="00186ADF">
        <w:t xml:space="preserve">(e.g. </w:t>
      </w:r>
      <w:r>
        <w:t>relating to environmental contamination</w:t>
      </w:r>
      <w:r w:rsidRPr="00186ADF">
        <w:t>).</w:t>
      </w:r>
    </w:p>
    <w:p w14:paraId="688D287E" w14:textId="668BA7EF" w:rsidR="003C7B88" w:rsidRDefault="00324089" w:rsidP="00975F8B">
      <w:r>
        <w:t xml:space="preserve">Certification </w:t>
      </w:r>
      <w:r w:rsidR="0061717F">
        <w:t>helps provide</w:t>
      </w:r>
      <w:r w:rsidR="00B86397">
        <w:t xml:space="preserve"> </w:t>
      </w:r>
      <w:r w:rsidRPr="00107995">
        <w:t xml:space="preserve">confidence in measurements used </w:t>
      </w:r>
      <w:r>
        <w:t>for non-trade (legal) purposes, particularly where there is a need for a legal assurance under the Act.</w:t>
      </w:r>
    </w:p>
    <w:p w14:paraId="688D287F" w14:textId="16B65FDB" w:rsidR="00186ADF" w:rsidRDefault="006512BE" w:rsidP="00975F8B">
      <w:r w:rsidRPr="003C7B88">
        <w:t xml:space="preserve">The Chief Metrologist </w:t>
      </w:r>
      <w:r w:rsidR="00027630" w:rsidRPr="0085350A">
        <w:t xml:space="preserve">may </w:t>
      </w:r>
      <w:r w:rsidRPr="003C7B88">
        <w:t xml:space="preserve">appoint </w:t>
      </w:r>
      <w:r w:rsidR="00B86397">
        <w:t xml:space="preserve">entities </w:t>
      </w:r>
      <w:r w:rsidR="003C7B88">
        <w:t>as</w:t>
      </w:r>
      <w:r w:rsidR="003C7B88" w:rsidRPr="00393351">
        <w:t xml:space="preserve"> </w:t>
      </w:r>
      <w:r w:rsidRPr="003C7B88">
        <w:t>Certifying Authorities</w:t>
      </w:r>
      <w:r w:rsidR="00043C76">
        <w:t>. Certifying Authorities need to</w:t>
      </w:r>
      <w:r w:rsidRPr="003C7B88">
        <w:t xml:space="preserve"> meet appropriate </w:t>
      </w:r>
      <w:r w:rsidR="00027630" w:rsidRPr="0085350A">
        <w:t>capability</w:t>
      </w:r>
      <w:r w:rsidRPr="003C7B88">
        <w:t xml:space="preserve"> requirements or hold National Association of Testing Authorities (NATA) accreditation that the Chief Metrologist considers appropriate to certify measuring instruments</w:t>
      </w:r>
      <w:r w:rsidR="00224A32">
        <w:rPr>
          <w:rStyle w:val="FootnoteReference"/>
          <w:rFonts w:cstheme="minorHAnsi"/>
          <w:sz w:val="20"/>
          <w:szCs w:val="20"/>
        </w:rPr>
        <w:footnoteReference w:id="24"/>
      </w:r>
      <w:r w:rsidRPr="003C7B88">
        <w:t>.</w:t>
      </w:r>
    </w:p>
    <w:p w14:paraId="4D7F89E4" w14:textId="05CAB074" w:rsidR="00135CAE" w:rsidRDefault="008A19DF" w:rsidP="00975F8B">
      <w:r>
        <w:t xml:space="preserve">The process of certification involves government </w:t>
      </w:r>
      <w:r w:rsidR="00DE4472">
        <w:t xml:space="preserve">agencies, instrument manufacturers or other parties </w:t>
      </w:r>
      <w:r>
        <w:t xml:space="preserve">submitting a measuring instrument to a </w:t>
      </w:r>
      <w:r w:rsidRPr="00107995">
        <w:t>Certifying Authority</w:t>
      </w:r>
      <w:r>
        <w:t xml:space="preserve"> </w:t>
      </w:r>
      <w:r w:rsidR="0040128D">
        <w:t xml:space="preserve">for </w:t>
      </w:r>
      <w:r>
        <w:t>accuracy</w:t>
      </w:r>
      <w:r w:rsidR="0040128D">
        <w:t xml:space="preserve"> testing</w:t>
      </w:r>
      <w:r>
        <w:t xml:space="preserve">. </w:t>
      </w:r>
      <w:r w:rsidR="00C21639">
        <w:t xml:space="preserve">There </w:t>
      </w:r>
      <w:r w:rsidR="00B8626F">
        <w:t xml:space="preserve">have been </w:t>
      </w:r>
      <w:r w:rsidR="00C21639">
        <w:t xml:space="preserve">instances where </w:t>
      </w:r>
      <w:r w:rsidR="00186ADF" w:rsidRPr="00135CAE">
        <w:rPr>
          <w:rStyle w:val="CommentReference"/>
          <w:sz w:val="22"/>
          <w:szCs w:val="20"/>
        </w:rPr>
        <w:t>Commonwealth, state and territory</w:t>
      </w:r>
      <w:r w:rsidR="00F153EB" w:rsidRPr="00135CAE">
        <w:rPr>
          <w:sz w:val="24"/>
        </w:rPr>
        <w:t xml:space="preserve"> </w:t>
      </w:r>
      <w:r w:rsidR="00BD3DDE">
        <w:t>legislators</w:t>
      </w:r>
      <w:r w:rsidR="00BD3DDE" w:rsidRPr="00186ADF">
        <w:t xml:space="preserve"> </w:t>
      </w:r>
      <w:r w:rsidR="00C21639">
        <w:t xml:space="preserve">have used </w:t>
      </w:r>
      <w:r w:rsidR="00F153EB" w:rsidRPr="00186ADF">
        <w:t xml:space="preserve">Australia’s measurement framework </w:t>
      </w:r>
      <w:r w:rsidR="00186ADF" w:rsidRPr="00186ADF">
        <w:t xml:space="preserve">for a </w:t>
      </w:r>
      <w:r w:rsidR="007840B9">
        <w:t xml:space="preserve">non-trade </w:t>
      </w:r>
      <w:r w:rsidR="00186ADF" w:rsidRPr="00186ADF">
        <w:t xml:space="preserve">legal purpose (e.g. law enforcement, </w:t>
      </w:r>
      <w:r w:rsidR="00C21639">
        <w:t xml:space="preserve">and </w:t>
      </w:r>
      <w:r w:rsidR="00186ADF" w:rsidRPr="00186ADF">
        <w:t xml:space="preserve">safety). However, </w:t>
      </w:r>
      <w:r w:rsidR="00A64274">
        <w:t xml:space="preserve">some </w:t>
      </w:r>
      <w:r w:rsidR="00224A32">
        <w:t xml:space="preserve">aspects of </w:t>
      </w:r>
      <w:r w:rsidR="00186ADF" w:rsidRPr="00186ADF">
        <w:t>t</w:t>
      </w:r>
      <w:r w:rsidR="008C139E" w:rsidRPr="00186ADF">
        <w:t xml:space="preserve">he framework </w:t>
      </w:r>
      <w:r w:rsidR="00A64274">
        <w:t>exist exclusively for trade applications</w:t>
      </w:r>
      <w:r w:rsidR="00135CAE">
        <w:t xml:space="preserve">, </w:t>
      </w:r>
      <w:r w:rsidR="00A64274">
        <w:t>for instance</w:t>
      </w:r>
      <w:r w:rsidR="001968C5">
        <w:t>,</w:t>
      </w:r>
      <w:r w:rsidR="00A64274">
        <w:t xml:space="preserve"> </w:t>
      </w:r>
      <w:r w:rsidR="008C139E" w:rsidRPr="00186ADF">
        <w:t>NITP</w:t>
      </w:r>
      <w:r w:rsidR="00A64274">
        <w:t>s</w:t>
      </w:r>
      <w:r w:rsidR="008C139E" w:rsidRPr="00186ADF">
        <w:t xml:space="preserve"> and </w:t>
      </w:r>
      <w:r w:rsidR="0090132A">
        <w:t>s</w:t>
      </w:r>
      <w:r w:rsidR="008C139E" w:rsidRPr="00186ADF">
        <w:t>ervic</w:t>
      </w:r>
      <w:r w:rsidR="00C21639">
        <w:t>ing</w:t>
      </w:r>
      <w:r w:rsidR="008C139E" w:rsidRPr="00186ADF">
        <w:t xml:space="preserve"> </w:t>
      </w:r>
      <w:r w:rsidR="0090132A">
        <w:t>l</w:t>
      </w:r>
      <w:r w:rsidR="008C139E" w:rsidRPr="00186ADF">
        <w:t>icensee</w:t>
      </w:r>
      <w:r w:rsidR="00A64274">
        <w:t xml:space="preserve"> status</w:t>
      </w:r>
      <w:r w:rsidR="00070899">
        <w:t>,</w:t>
      </w:r>
      <w:r w:rsidR="00135CAE">
        <w:t xml:space="preserve"> </w:t>
      </w:r>
      <w:r w:rsidR="00BD0CB2">
        <w:t>limit</w:t>
      </w:r>
      <w:r w:rsidR="00070899">
        <w:t>ing</w:t>
      </w:r>
      <w:r w:rsidR="00BD0CB2">
        <w:t xml:space="preserve"> the ability of the framework to be adopted by </w:t>
      </w:r>
      <w:r w:rsidR="00BD0CB2" w:rsidRPr="00C2684C">
        <w:rPr>
          <w:rStyle w:val="CommentReference"/>
          <w:sz w:val="22"/>
          <w:szCs w:val="20"/>
        </w:rPr>
        <w:t>Commonwealth, state and territory</w:t>
      </w:r>
      <w:r w:rsidR="00BD0CB2" w:rsidRPr="00C2684C">
        <w:rPr>
          <w:sz w:val="24"/>
        </w:rPr>
        <w:t xml:space="preserve"> </w:t>
      </w:r>
      <w:r w:rsidR="00922626">
        <w:t>legislators</w:t>
      </w:r>
      <w:r w:rsidR="00922626" w:rsidRPr="00186ADF">
        <w:t xml:space="preserve"> </w:t>
      </w:r>
      <w:r w:rsidR="00BD0CB2">
        <w:t>for</w:t>
      </w:r>
      <w:r w:rsidR="008C139E" w:rsidRPr="00186ADF">
        <w:t xml:space="preserve"> non-trade application</w:t>
      </w:r>
      <w:r w:rsidR="00BD0CB2">
        <w:t>s</w:t>
      </w:r>
      <w:r w:rsidR="00135CAE">
        <w:t>.</w:t>
      </w:r>
    </w:p>
    <w:p w14:paraId="6EDC63BA" w14:textId="71495F42" w:rsidR="00135CAE" w:rsidRDefault="00685B92">
      <w:r>
        <w:t xml:space="preserve">Other government </w:t>
      </w:r>
      <w:r w:rsidR="00027630">
        <w:t>administrators</w:t>
      </w:r>
      <w:r>
        <w:t xml:space="preserve"> or industry self-regulators requiring accurate measurements may be able to reduce operational costs </w:t>
      </w:r>
      <w:r w:rsidR="00B8626F">
        <w:t xml:space="preserve">associated with </w:t>
      </w:r>
      <w:r>
        <w:t>developing their own frameworks by adopting eleme</w:t>
      </w:r>
      <w:r w:rsidR="003C7B88">
        <w:t xml:space="preserve">nts of the national measurement </w:t>
      </w:r>
      <w:r>
        <w:t>law framework</w:t>
      </w:r>
      <w:r w:rsidR="008C5F21" w:rsidRPr="008C5F21">
        <w:t xml:space="preserve"> </w:t>
      </w:r>
      <w:r w:rsidR="008C5F21">
        <w:t>such as pattern approval and certification</w:t>
      </w:r>
      <w:r w:rsidR="003C7B88">
        <w:t>.</w:t>
      </w:r>
    </w:p>
    <w:p w14:paraId="688D2882" w14:textId="77777777" w:rsidR="002A6C20" w:rsidRDefault="00186ADF" w:rsidP="00186ADF">
      <w:pPr>
        <w:pStyle w:val="Casestudy"/>
        <w:rPr>
          <w:b/>
        </w:rPr>
      </w:pPr>
      <w:r w:rsidRPr="00107995">
        <w:rPr>
          <w:b/>
        </w:rPr>
        <w:t>Example of measuring instrument for non-trade or legal purpose</w:t>
      </w:r>
    </w:p>
    <w:p w14:paraId="688D2883" w14:textId="23787F91" w:rsidR="00186ADF" w:rsidRPr="00107995" w:rsidRDefault="00186ADF" w:rsidP="00186ADF">
      <w:pPr>
        <w:pStyle w:val="Casestudy"/>
      </w:pPr>
      <w:r w:rsidRPr="00107995">
        <w:t>Evidential breath analysers (EBA</w:t>
      </w:r>
      <w:r w:rsidR="00BB0E7F">
        <w:t>s, also known as breathalysers</w:t>
      </w:r>
      <w:r w:rsidRPr="00107995">
        <w:t xml:space="preserve">) are measuring instruments used for a legal purpose (non-trade). These instruments are used by traffic enforcement agencies under road safety legislation. </w:t>
      </w:r>
      <w:r w:rsidR="00C636F6" w:rsidRPr="00107995">
        <w:t>Based on</w:t>
      </w:r>
      <w:r w:rsidRPr="00107995">
        <w:t xml:space="preserve"> a measurement reading, people may be penalised. State and </w:t>
      </w:r>
      <w:r w:rsidR="00454512">
        <w:t>t</w:t>
      </w:r>
      <w:r w:rsidRPr="00107995">
        <w:t>erritory enforcement laws determine whether these measuring instruments are to be certified. While not mandated by the Commonwealth, some States require</w:t>
      </w:r>
      <w:r w:rsidR="008647EA">
        <w:t xml:space="preserve"> the</w:t>
      </w:r>
      <w:r w:rsidRPr="00107995">
        <w:t xml:space="preserve"> certification of EBAs.</w:t>
      </w:r>
    </w:p>
    <w:p w14:paraId="688D2885" w14:textId="77777777" w:rsidR="0030755B" w:rsidRPr="0050101A" w:rsidRDefault="0030755B" w:rsidP="00135CAE">
      <w:pPr>
        <w:pStyle w:val="Heading3"/>
      </w:pPr>
      <w:bookmarkStart w:id="46" w:name="_Toc532394054"/>
      <w:r w:rsidRPr="00B77829">
        <w:lastRenderedPageBreak/>
        <w:t>Questions:</w:t>
      </w:r>
    </w:p>
    <w:p w14:paraId="688D2886" w14:textId="5F65126B" w:rsidR="0030755B" w:rsidRDefault="0030755B" w:rsidP="00135CAE">
      <w:pPr>
        <w:pStyle w:val="ListParagraph"/>
        <w:numPr>
          <w:ilvl w:val="2"/>
          <w:numId w:val="42"/>
        </w:numPr>
      </w:pPr>
      <w:r w:rsidRPr="006512BE">
        <w:t xml:space="preserve">Are verification and certification </w:t>
      </w:r>
      <w:r>
        <w:t xml:space="preserve">an </w:t>
      </w:r>
      <w:r w:rsidRPr="006512BE">
        <w:t>effective and efficient means of ensuring and demonstrating accuracy for the purposes to which they are applied?</w:t>
      </w:r>
    </w:p>
    <w:p w14:paraId="67AAF28E" w14:textId="77777777" w:rsidR="00975F8B" w:rsidRDefault="00975F8B" w:rsidP="00975F8B">
      <w:pPr>
        <w:pStyle w:val="ListParagraph"/>
      </w:pPr>
    </w:p>
    <w:p w14:paraId="7E3F491C" w14:textId="7C6E2E47" w:rsidR="00AC154B" w:rsidRDefault="0030755B" w:rsidP="00975F8B">
      <w:pPr>
        <w:pStyle w:val="ListParagraph"/>
        <w:ind w:left="1080"/>
      </w:pPr>
      <w:r>
        <w:t xml:space="preserve">In answering this question, you may wish to consider </w:t>
      </w:r>
      <w:r w:rsidR="00E2733C">
        <w:t>if</w:t>
      </w:r>
      <w:r w:rsidR="00AC154B">
        <w:t>:</w:t>
      </w:r>
      <w:r>
        <w:t xml:space="preserve"> </w:t>
      </w:r>
    </w:p>
    <w:p w14:paraId="0E08FC17" w14:textId="19E9629C" w:rsidR="00AC154B" w:rsidRDefault="0030755B" w:rsidP="00975F8B">
      <w:pPr>
        <w:pStyle w:val="ListParagraph"/>
        <w:numPr>
          <w:ilvl w:val="0"/>
          <w:numId w:val="17"/>
        </w:numPr>
      </w:pPr>
      <w:r w:rsidRPr="00D83985">
        <w:t>methods assuring accuracy should be harmonised or streamlined</w:t>
      </w:r>
      <w:r w:rsidR="003F3B45">
        <w:t>,</w:t>
      </w:r>
      <w:r w:rsidR="00710E4A">
        <w:t xml:space="preserve"> and</w:t>
      </w:r>
    </w:p>
    <w:p w14:paraId="688D2887" w14:textId="42C72118" w:rsidR="0030755B" w:rsidRDefault="0030755B" w:rsidP="00975F8B">
      <w:pPr>
        <w:pStyle w:val="ListParagraph"/>
        <w:numPr>
          <w:ilvl w:val="0"/>
          <w:numId w:val="17"/>
        </w:numPr>
      </w:pPr>
      <w:r w:rsidRPr="00D83985">
        <w:t>verification and certification are sufficient for the variety of regulated measuring instruments</w:t>
      </w:r>
      <w:r w:rsidR="00E2733C">
        <w:t xml:space="preserve"> under Australia’s measurement laws</w:t>
      </w:r>
      <w:r w:rsidRPr="00D83985">
        <w:t>.</w:t>
      </w:r>
    </w:p>
    <w:p w14:paraId="04A878A2" w14:textId="77777777" w:rsidR="00975F8B" w:rsidRPr="00D83985" w:rsidRDefault="00975F8B" w:rsidP="00975F8B">
      <w:pPr>
        <w:pStyle w:val="ListParagraph"/>
        <w:ind w:left="1800"/>
      </w:pPr>
    </w:p>
    <w:p w14:paraId="55906E30" w14:textId="61A24528" w:rsidR="006F4C9D" w:rsidRDefault="0030755B" w:rsidP="00135CAE">
      <w:pPr>
        <w:pStyle w:val="ListParagraph"/>
        <w:numPr>
          <w:ilvl w:val="2"/>
          <w:numId w:val="42"/>
        </w:numPr>
      </w:pPr>
      <w:r>
        <w:t xml:space="preserve">Are there additional types of measuring instruments that should have </w:t>
      </w:r>
      <w:r w:rsidR="00C2684C">
        <w:t>mandated re-verification periods</w:t>
      </w:r>
      <w:r>
        <w:t>? If so, why</w:t>
      </w:r>
      <w:r w:rsidR="00A63EB2">
        <w:t>? W</w:t>
      </w:r>
      <w:r>
        <w:t>hat costs</w:t>
      </w:r>
      <w:r w:rsidR="00A63EB2">
        <w:t>/</w:t>
      </w:r>
      <w:r w:rsidR="009E620A">
        <w:t>benefits</w:t>
      </w:r>
      <w:r w:rsidR="00054CD5">
        <w:t xml:space="preserve"> </w:t>
      </w:r>
      <w:r w:rsidR="00863C19">
        <w:t>or</w:t>
      </w:r>
      <w:r w:rsidR="007A5BA3">
        <w:t xml:space="preserve"> risks </w:t>
      </w:r>
      <w:r w:rsidR="00A63EB2">
        <w:t>might</w:t>
      </w:r>
      <w:r>
        <w:t xml:space="preserve"> arise?</w:t>
      </w:r>
    </w:p>
    <w:p w14:paraId="437E7F14" w14:textId="77777777" w:rsidR="00975F8B" w:rsidRDefault="00975F8B" w:rsidP="00975F8B">
      <w:pPr>
        <w:pStyle w:val="ListParagraph"/>
      </w:pPr>
    </w:p>
    <w:p w14:paraId="688D289D" w14:textId="18DD72D8" w:rsidR="0030755B" w:rsidRPr="00C83080" w:rsidRDefault="0021768A" w:rsidP="00C83080">
      <w:pPr>
        <w:pStyle w:val="ListParagraph"/>
        <w:numPr>
          <w:ilvl w:val="2"/>
          <w:numId w:val="42"/>
        </w:numPr>
      </w:pPr>
      <w:r>
        <w:t>Does the current framework</w:t>
      </w:r>
      <w:r w:rsidR="003E2473">
        <w:t>,</w:t>
      </w:r>
      <w:r>
        <w:t xml:space="preserve"> </w:t>
      </w:r>
      <w:r w:rsidR="003E2473">
        <w:t xml:space="preserve">which </w:t>
      </w:r>
      <w:r>
        <w:t xml:space="preserve">aims to ensure </w:t>
      </w:r>
      <w:r w:rsidRPr="001017C9">
        <w:t>the ongoing confidence o</w:t>
      </w:r>
      <w:r w:rsidRPr="005863B3">
        <w:t>f measuring instruments</w:t>
      </w:r>
      <w:r w:rsidR="003E2473">
        <w:t>,</w:t>
      </w:r>
      <w:r>
        <w:t xml:space="preserve"> serve your needs? How could it be modified to better meet the needs of the community?</w:t>
      </w:r>
      <w:bookmarkEnd w:id="46"/>
    </w:p>
    <w:bookmarkEnd w:id="6"/>
    <w:bookmarkEnd w:id="7"/>
    <w:bookmarkEnd w:id="8"/>
    <w:bookmarkEnd w:id="9"/>
    <w:sectPr w:rsidR="0030755B" w:rsidRPr="00C83080" w:rsidSect="0030755B">
      <w:footerReference w:type="default" r:id="rId24"/>
      <w:pgSz w:w="11906" w:h="16838"/>
      <w:pgMar w:top="1134" w:right="1440"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C9BB5" w14:textId="77777777" w:rsidR="003E2473" w:rsidRDefault="003E2473" w:rsidP="008744AC">
      <w:pPr>
        <w:spacing w:after="0" w:line="240" w:lineRule="auto"/>
      </w:pPr>
      <w:r>
        <w:separator/>
      </w:r>
    </w:p>
  </w:endnote>
  <w:endnote w:type="continuationSeparator" w:id="0">
    <w:p w14:paraId="54BCD27A" w14:textId="77777777" w:rsidR="003E2473" w:rsidRDefault="003E2473" w:rsidP="008744AC">
      <w:pPr>
        <w:spacing w:after="0" w:line="240" w:lineRule="auto"/>
      </w:pPr>
      <w:r>
        <w:continuationSeparator/>
      </w:r>
    </w:p>
  </w:endnote>
  <w:endnote w:type="continuationNotice" w:id="1">
    <w:p w14:paraId="3528D961" w14:textId="77777777" w:rsidR="003E2473" w:rsidRDefault="003E24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Narrow Light">
    <w:altName w:val="Times New Roman"/>
    <w:panose1 w:val="00000000000000000000"/>
    <w:charset w:val="00"/>
    <w:family w:val="auto"/>
    <w:notTrueType/>
    <w:pitch w:val="variable"/>
    <w:sig w:usb0="00000001" w:usb1="4000004A" w:usb2="00000000" w:usb3="00000000" w:csb0="0000009B" w:csb1="00000000"/>
  </w:font>
  <w:font w:name="Calibri">
    <w:panose1 w:val="020F0502020204030204"/>
    <w:charset w:val="00"/>
    <w:family w:val="swiss"/>
    <w:pitch w:val="variable"/>
    <w:sig w:usb0="E0002AFF" w:usb1="C000247B" w:usb2="00000009" w:usb3="00000000" w:csb0="000001FF" w:csb1="00000000"/>
  </w:font>
  <w:font w:name="Gotham Bold">
    <w:altName w:val="Times New Roman"/>
    <w:panose1 w:val="00000000000000000000"/>
    <w:charset w:val="00"/>
    <w:family w:val="auto"/>
    <w:notTrueType/>
    <w:pitch w:val="variable"/>
    <w:sig w:usb0="00000001" w:usb1="40000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D28BD" w14:textId="77777777" w:rsidR="003E2473" w:rsidRDefault="003E2473" w:rsidP="004F7DF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8D28BE" w14:textId="77777777" w:rsidR="003E2473" w:rsidRDefault="003E2473" w:rsidP="004F7D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9913360"/>
      <w:docPartObj>
        <w:docPartGallery w:val="Page Numbers (Bottom of Page)"/>
        <w:docPartUnique/>
      </w:docPartObj>
    </w:sdtPr>
    <w:sdtEndPr>
      <w:rPr>
        <w:noProof/>
      </w:rPr>
    </w:sdtEndPr>
    <w:sdtContent>
      <w:p w14:paraId="688D28BF" w14:textId="77777777" w:rsidR="003E2473" w:rsidRDefault="003E2473">
        <w:pPr>
          <w:pStyle w:val="Footer"/>
          <w:jc w:val="right"/>
        </w:pPr>
        <w:r>
          <w:fldChar w:fldCharType="begin"/>
        </w:r>
        <w:r>
          <w:instrText xml:space="preserve"> PAGE   \* MERGEFORMAT </w:instrText>
        </w:r>
        <w:r>
          <w:fldChar w:fldCharType="separate"/>
        </w:r>
        <w:r w:rsidR="00DA24F3">
          <w:rPr>
            <w:noProof/>
          </w:rPr>
          <w:t>2</w:t>
        </w:r>
        <w:r>
          <w:rPr>
            <w:noProof/>
          </w:rPr>
          <w:fldChar w:fldCharType="end"/>
        </w:r>
      </w:p>
    </w:sdtContent>
  </w:sdt>
  <w:p w14:paraId="688D28C0" w14:textId="77777777" w:rsidR="003E2473" w:rsidRDefault="003E24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92FD5" w14:textId="77777777" w:rsidR="003E2473" w:rsidRDefault="003E2473" w:rsidP="008744AC">
      <w:pPr>
        <w:spacing w:after="0" w:line="240" w:lineRule="auto"/>
      </w:pPr>
      <w:r>
        <w:separator/>
      </w:r>
    </w:p>
  </w:footnote>
  <w:footnote w:type="continuationSeparator" w:id="0">
    <w:p w14:paraId="4992AEFE" w14:textId="77777777" w:rsidR="003E2473" w:rsidRDefault="003E2473" w:rsidP="008744AC">
      <w:pPr>
        <w:spacing w:after="0" w:line="240" w:lineRule="auto"/>
      </w:pPr>
      <w:r>
        <w:continuationSeparator/>
      </w:r>
    </w:p>
  </w:footnote>
  <w:footnote w:type="continuationNotice" w:id="1">
    <w:p w14:paraId="6E1D50FC" w14:textId="77777777" w:rsidR="003E2473" w:rsidRDefault="003E2473">
      <w:pPr>
        <w:spacing w:after="0" w:line="240" w:lineRule="auto"/>
      </w:pPr>
    </w:p>
  </w:footnote>
  <w:footnote w:id="2">
    <w:p w14:paraId="2404C55A" w14:textId="77777777" w:rsidR="00CA6F1B" w:rsidRDefault="00CA6F1B" w:rsidP="00CA6F1B">
      <w:pPr>
        <w:pStyle w:val="FootnoteText"/>
      </w:pPr>
      <w:r>
        <w:rPr>
          <w:rStyle w:val="FootnoteReference"/>
        </w:rPr>
        <w:footnoteRef/>
      </w:r>
      <w:r>
        <w:t xml:space="preserve"> </w:t>
      </w:r>
      <w:r w:rsidRPr="00942FA1">
        <w:t>Under the NMR, ‘physical quantities’ includes ‘chemical quantities’.  Relevantly, Regulation 5 of the NMR provides that “</w:t>
      </w:r>
      <w:r w:rsidRPr="00942FA1">
        <w:rPr>
          <w:i/>
        </w:rPr>
        <w:t>the Australian legal unit of measurement for a physical quantity mentioned in an item in Schedule 1 is the unit of measurement the name, symbol and definition of which are mentioned in the item</w:t>
      </w:r>
      <w:r w:rsidRPr="00942FA1">
        <w:t>.”  Item 1.2 of Part 1 of Schedule 1 of the NMR specifies that the physical quantity for the amount of a substance is the mole.</w:t>
      </w:r>
      <w:r>
        <w:t xml:space="preserve"> </w:t>
      </w:r>
    </w:p>
  </w:footnote>
  <w:footnote w:id="3">
    <w:p w14:paraId="5C819820" w14:textId="77777777" w:rsidR="003E2473" w:rsidRDefault="003E2473" w:rsidP="00AC6061">
      <w:pPr>
        <w:pStyle w:val="FootnoteText"/>
      </w:pPr>
      <w:r>
        <w:rPr>
          <w:rStyle w:val="FootnoteReference"/>
        </w:rPr>
        <w:footnoteRef/>
      </w:r>
      <w:r>
        <w:t xml:space="preserve"> Refer to Pattern Approval section of this discussion paper in “Approval for use”.</w:t>
      </w:r>
    </w:p>
  </w:footnote>
  <w:footnote w:id="4">
    <w:p w14:paraId="79C844EF" w14:textId="77777777" w:rsidR="003E2473" w:rsidRDefault="003E2473" w:rsidP="00AC6061">
      <w:pPr>
        <w:pStyle w:val="FootnoteText"/>
      </w:pPr>
      <w:r>
        <w:rPr>
          <w:rStyle w:val="FootnoteReference"/>
        </w:rPr>
        <w:footnoteRef/>
      </w:r>
      <w:r>
        <w:t xml:space="preserve"> Provided for under Division 3 of Part IV of the Act.</w:t>
      </w:r>
    </w:p>
  </w:footnote>
  <w:footnote w:id="5">
    <w:p w14:paraId="59845F8A" w14:textId="77777777" w:rsidR="003E2473" w:rsidRDefault="003E2473" w:rsidP="00AC6061">
      <w:pPr>
        <w:pStyle w:val="FootnoteText"/>
      </w:pPr>
      <w:r>
        <w:rPr>
          <w:rStyle w:val="FootnoteReference"/>
        </w:rPr>
        <w:footnoteRef/>
      </w:r>
      <w:r>
        <w:t xml:space="preserve"> Provided for in Division 2 of Part 4 of the NMR.</w:t>
      </w:r>
    </w:p>
  </w:footnote>
  <w:footnote w:id="6">
    <w:p w14:paraId="3E8D0E60" w14:textId="77777777" w:rsidR="00CA6F1B" w:rsidRDefault="00CA6F1B" w:rsidP="00CA6F1B">
      <w:pPr>
        <w:pStyle w:val="FootnoteText"/>
      </w:pPr>
      <w:r>
        <w:rPr>
          <w:rStyle w:val="FootnoteReference"/>
        </w:rPr>
        <w:footnoteRef/>
      </w:r>
      <w:r>
        <w:t xml:space="preserve"> See Division 2 of Part IV of the Act.</w:t>
      </w:r>
    </w:p>
  </w:footnote>
  <w:footnote w:id="7">
    <w:p w14:paraId="60DC04C1" w14:textId="77777777" w:rsidR="00CA6F1B" w:rsidRPr="00E154AD" w:rsidRDefault="00CA6F1B" w:rsidP="00CA6F1B">
      <w:pPr>
        <w:pStyle w:val="NoSpacing"/>
        <w:rPr>
          <w:sz w:val="20"/>
          <w:szCs w:val="20"/>
          <w:lang w:val="en-US"/>
        </w:rPr>
      </w:pPr>
      <w:r w:rsidRPr="00E154AD">
        <w:rPr>
          <w:rStyle w:val="FootnoteReference"/>
          <w:sz w:val="20"/>
          <w:szCs w:val="20"/>
        </w:rPr>
        <w:footnoteRef/>
      </w:r>
      <w:r w:rsidRPr="00E154AD">
        <w:rPr>
          <w:rFonts w:cstheme="minorHAnsi"/>
          <w:sz w:val="20"/>
          <w:szCs w:val="20"/>
        </w:rPr>
        <w:t xml:space="preserve"> See sections 4A and 4B of the Act. </w:t>
      </w:r>
      <w:r w:rsidRPr="00E154AD">
        <w:rPr>
          <w:sz w:val="20"/>
          <w:szCs w:val="20"/>
        </w:rPr>
        <w:t>A range of measuring instruments are exempt from regulation by the national measurement framework</w:t>
      </w:r>
      <w:r>
        <w:rPr>
          <w:sz w:val="20"/>
          <w:szCs w:val="20"/>
        </w:rPr>
        <w:t>.</w:t>
      </w:r>
      <w:r w:rsidRPr="00E154AD">
        <w:rPr>
          <w:sz w:val="20"/>
          <w:szCs w:val="20"/>
        </w:rPr>
        <w:t xml:space="preserve"> For example, state and territory laws may require pattern approval and verification of meters that are exempt under the Act. State and territory laws may specify laws relating to improper practices in connection with utility meters used for trade. Sub-section 4A(1A) makes it clear that the Act is not intended to exclude or limit the concurrent operation of any state or territory law to the extent the state and territory law relates to verification of exempt utility meters used for trade or approval patterns of exempt utility meters used for trade.</w:t>
      </w:r>
    </w:p>
  </w:footnote>
  <w:footnote w:id="8">
    <w:p w14:paraId="32CEA929" w14:textId="77777777" w:rsidR="00CA6F1B" w:rsidRPr="00AA76B7" w:rsidRDefault="00CA6F1B" w:rsidP="00CA6F1B">
      <w:pPr>
        <w:pStyle w:val="FootnoteText"/>
      </w:pPr>
      <w:r w:rsidRPr="001F64CB">
        <w:rPr>
          <w:rStyle w:val="FootnoteReference"/>
        </w:rPr>
        <w:footnoteRef/>
      </w:r>
      <w:r w:rsidRPr="00AA76B7">
        <w:t xml:space="preserve"> See sections 4A and 4B of the Act.</w:t>
      </w:r>
    </w:p>
  </w:footnote>
  <w:footnote w:id="9">
    <w:p w14:paraId="688D28C7" w14:textId="6CEFE061" w:rsidR="003E2473" w:rsidRPr="001F64CB" w:rsidRDefault="003E2473">
      <w:pPr>
        <w:pStyle w:val="FootnoteText"/>
      </w:pPr>
      <w:r w:rsidRPr="00E154AD">
        <w:rPr>
          <w:rStyle w:val="FootnoteReference"/>
        </w:rPr>
        <w:footnoteRef/>
      </w:r>
      <w:r w:rsidRPr="00E154AD">
        <w:t xml:space="preserve"> </w:t>
      </w:r>
      <w:r w:rsidRPr="001F64CB">
        <w:rPr>
          <w:rStyle w:val="CommentReference"/>
          <w:sz w:val="20"/>
          <w:szCs w:val="20"/>
        </w:rPr>
        <w:t>A</w:t>
      </w:r>
      <w:r w:rsidRPr="00AA76B7">
        <w:rPr>
          <w:rFonts w:cstheme="minorHAnsi"/>
        </w:rPr>
        <w:t>dministrators may consider the option of using a verified artefact that may provide assurances of accuracy for some physical objects used in simple application</w:t>
      </w:r>
      <w:r>
        <w:rPr>
          <w:rFonts w:cstheme="minorHAnsi"/>
        </w:rPr>
        <w:t>s</w:t>
      </w:r>
      <w:r w:rsidRPr="00E154AD">
        <w:rPr>
          <w:rFonts w:cstheme="minorHAnsi"/>
        </w:rPr>
        <w:t>.</w:t>
      </w:r>
      <w:r w:rsidRPr="00E154AD">
        <w:t xml:space="preserve"> Regulation 3 of the NMR: </w:t>
      </w:r>
      <w:r w:rsidRPr="00E154AD">
        <w:rPr>
          <w:i/>
        </w:rPr>
        <w:t>Artefact means a physical object that is not a standard of measurement</w:t>
      </w:r>
      <w:r w:rsidRPr="00E154AD">
        <w:t xml:space="preserve">. An example of an artefact used for legal purposes is a crab gauge used to determine whether caught crabs meet mandated size limits.  </w:t>
      </w:r>
    </w:p>
  </w:footnote>
  <w:footnote w:id="10">
    <w:p w14:paraId="490C625B" w14:textId="77777777" w:rsidR="003E2473" w:rsidRDefault="003E2473" w:rsidP="002030FC">
      <w:pPr>
        <w:pStyle w:val="FootnoteText"/>
      </w:pPr>
      <w:r>
        <w:rPr>
          <w:rStyle w:val="FootnoteReference"/>
        </w:rPr>
        <w:footnoteRef/>
      </w:r>
      <w:r>
        <w:t xml:space="preserve"> Section 18GA of the Act requires measuring instruments used for trade to be verified. Section 18GK sets out the requirements for verification, including that the instrument must be of an approved pattern. </w:t>
      </w:r>
    </w:p>
  </w:footnote>
  <w:footnote w:id="11">
    <w:p w14:paraId="688D28C8" w14:textId="77777777" w:rsidR="003E2473" w:rsidRDefault="003E2473" w:rsidP="00E47808">
      <w:pPr>
        <w:pStyle w:val="FootnoteText"/>
      </w:pPr>
      <w:r>
        <w:rPr>
          <w:rStyle w:val="FootnoteReference"/>
        </w:rPr>
        <w:footnoteRef/>
      </w:r>
      <w:r>
        <w:t xml:space="preserve"> See for example, section 18GC of the Act and regulation 58 of the NMR.</w:t>
      </w:r>
    </w:p>
  </w:footnote>
  <w:footnote w:id="12">
    <w:p w14:paraId="41DD45E9" w14:textId="73D7DA73" w:rsidR="003E2473" w:rsidRPr="000A5ABB" w:rsidRDefault="003E2473" w:rsidP="001B3E3F">
      <w:pPr>
        <w:pStyle w:val="FootnoteText"/>
        <w:rPr>
          <w:i/>
        </w:rPr>
      </w:pPr>
      <w:r>
        <w:rPr>
          <w:rStyle w:val="FootnoteReference"/>
        </w:rPr>
        <w:footnoteRef/>
      </w:r>
      <w:r>
        <w:t xml:space="preserve"> </w:t>
      </w:r>
      <w:r>
        <w:rPr>
          <w:rFonts w:cstheme="minorHAnsi"/>
        </w:rPr>
        <w:t xml:space="preserve">Regulation 76 of the NMR </w:t>
      </w:r>
      <w:r w:rsidR="008D08C4">
        <w:rPr>
          <w:rFonts w:cstheme="minorHAnsi"/>
        </w:rPr>
        <w:t>(</w:t>
      </w:r>
      <w:r w:rsidRPr="000A5ABB">
        <w:rPr>
          <w:rFonts w:cstheme="minorHAnsi"/>
          <w:i/>
        </w:rPr>
        <w:t>Approving authorities</w:t>
      </w:r>
      <w:r w:rsidR="008D08C4">
        <w:rPr>
          <w:rFonts w:cstheme="minorHAnsi"/>
          <w:i/>
        </w:rPr>
        <w:t>).</w:t>
      </w:r>
    </w:p>
  </w:footnote>
  <w:footnote w:id="13">
    <w:p w14:paraId="2C7B7FBF" w14:textId="3AE46AE9" w:rsidR="003E2473" w:rsidRPr="000A5ABB" w:rsidRDefault="003E2473" w:rsidP="00356F26">
      <w:pPr>
        <w:pStyle w:val="FootnoteText"/>
        <w:rPr>
          <w:i/>
        </w:rPr>
      </w:pPr>
      <w:r>
        <w:rPr>
          <w:rStyle w:val="FootnoteReference"/>
        </w:rPr>
        <w:footnoteRef/>
      </w:r>
      <w:r>
        <w:t xml:space="preserve"> Regulation 60 of the NMR </w:t>
      </w:r>
      <w:r w:rsidR="008D08C4">
        <w:t>(</w:t>
      </w:r>
      <w:r w:rsidRPr="000A5ABB">
        <w:rPr>
          <w:i/>
        </w:rPr>
        <w:t>Approval of patterns of measuring instruments</w:t>
      </w:r>
      <w:r w:rsidR="008D08C4">
        <w:rPr>
          <w:i/>
        </w:rPr>
        <w:t>)</w:t>
      </w:r>
      <w:r>
        <w:rPr>
          <w:i/>
        </w:rPr>
        <w:t>.</w:t>
      </w:r>
    </w:p>
  </w:footnote>
  <w:footnote w:id="14">
    <w:p w14:paraId="7E6372D8" w14:textId="5D9911D9" w:rsidR="003E2473" w:rsidRPr="00256133" w:rsidRDefault="003E2473" w:rsidP="00D55C67">
      <w:pPr>
        <w:pStyle w:val="FootnoteText"/>
        <w:rPr>
          <w:lang w:val="en-US"/>
        </w:rPr>
      </w:pPr>
      <w:r>
        <w:rPr>
          <w:rStyle w:val="FootnoteReference"/>
        </w:rPr>
        <w:footnoteRef/>
      </w:r>
      <w:r>
        <w:t xml:space="preserve"> </w:t>
      </w:r>
      <w:r>
        <w:rPr>
          <w:lang w:val="en-US"/>
        </w:rPr>
        <w:t>Approval pathways under the MID are referred to as technical solutions.</w:t>
      </w:r>
    </w:p>
  </w:footnote>
  <w:footnote w:id="15">
    <w:p w14:paraId="688D28CE" w14:textId="0583EF58" w:rsidR="003E2473" w:rsidRDefault="003E2473" w:rsidP="00685B92">
      <w:pPr>
        <w:pStyle w:val="FootnoteText"/>
      </w:pPr>
      <w:r>
        <w:rPr>
          <w:rStyle w:val="FootnoteReference"/>
        </w:rPr>
        <w:footnoteRef/>
      </w:r>
      <w:r>
        <w:t xml:space="preserve"> Section 18GG of the Act.</w:t>
      </w:r>
    </w:p>
  </w:footnote>
  <w:footnote w:id="16">
    <w:p w14:paraId="0DABA0B9" w14:textId="77777777" w:rsidR="00CA6F1B" w:rsidRDefault="00CA6F1B" w:rsidP="00CA6F1B">
      <w:pPr>
        <w:pStyle w:val="FootnoteText"/>
      </w:pPr>
      <w:r>
        <w:rPr>
          <w:rStyle w:val="FootnoteReference"/>
        </w:rPr>
        <w:footnoteRef/>
      </w:r>
      <w:r>
        <w:t xml:space="preserve"> There are a number of offences under Australia’s measurement laws relating to using or suppling a measuring instrument that has not been verified. For more information regarding offences relating to verification, see our upcoming companion </w:t>
      </w:r>
      <w:r w:rsidRPr="00E502D5">
        <w:rPr>
          <w:i/>
        </w:rPr>
        <w:t>Compliance Arrangements</w:t>
      </w:r>
      <w:r w:rsidRPr="00E502D5">
        <w:t xml:space="preserve"> discussion paper.</w:t>
      </w:r>
    </w:p>
  </w:footnote>
  <w:footnote w:id="17">
    <w:p w14:paraId="54A77535" w14:textId="77777777" w:rsidR="00CA6F1B" w:rsidRDefault="00CA6F1B" w:rsidP="00CA6F1B">
      <w:pPr>
        <w:pStyle w:val="FootnoteText"/>
      </w:pPr>
      <w:r>
        <w:rPr>
          <w:rStyle w:val="FootnoteReference"/>
        </w:rPr>
        <w:footnoteRef/>
      </w:r>
      <w:r>
        <w:t xml:space="preserve"> Section 18GG(1)(b) and 20(1)(o) of the Act and Regulation 3.61 of the </w:t>
      </w:r>
      <w:r w:rsidRPr="0030755B">
        <w:rPr>
          <w:i/>
        </w:rPr>
        <w:t>National Trade Measurement Regulations 2009</w:t>
      </w:r>
      <w:r>
        <w:rPr>
          <w:i/>
        </w:rPr>
        <w:t>.</w:t>
      </w:r>
    </w:p>
  </w:footnote>
  <w:footnote w:id="18">
    <w:p w14:paraId="79A58998" w14:textId="77777777" w:rsidR="00BD7E6E" w:rsidRDefault="00BD7E6E" w:rsidP="00BD7E6E">
      <w:pPr>
        <w:pStyle w:val="FootnoteText"/>
      </w:pPr>
      <w:r w:rsidRPr="00BF02C7">
        <w:rPr>
          <w:rStyle w:val="FootnoteReference"/>
        </w:rPr>
        <w:footnoteRef/>
      </w:r>
      <w:r w:rsidRPr="00BF02C7">
        <w:t xml:space="preserve"> </w:t>
      </w:r>
      <w:r w:rsidRPr="008A19DF">
        <w:t>S</w:t>
      </w:r>
      <w:r>
        <w:t>e</w:t>
      </w:r>
      <w:r w:rsidRPr="008A19DF">
        <w:t>ction</w:t>
      </w:r>
      <w:r>
        <w:t xml:space="preserve"> 18GG of the Act.</w:t>
      </w:r>
    </w:p>
  </w:footnote>
  <w:footnote w:id="19">
    <w:p w14:paraId="688D28D2" w14:textId="50EF50D5" w:rsidR="003E2473" w:rsidRPr="00BF02C7" w:rsidRDefault="003E2473" w:rsidP="007D2B36">
      <w:pPr>
        <w:pStyle w:val="FootnoteText"/>
        <w:rPr>
          <w:rFonts w:cs="Arial"/>
          <w:color w:val="000000"/>
          <w:lang w:val="en"/>
        </w:rPr>
      </w:pPr>
      <w:r>
        <w:rPr>
          <w:rStyle w:val="FootnoteReference"/>
        </w:rPr>
        <w:footnoteRef/>
      </w:r>
      <w:r>
        <w:t xml:space="preserve"> For more information see the </w:t>
      </w:r>
      <w:r>
        <w:rPr>
          <w:rFonts w:cs="Arial"/>
          <w:color w:val="000000"/>
          <w:lang w:val="en"/>
        </w:rPr>
        <w:t xml:space="preserve">Review of the National Instrument Test Procedure (NITP) Reform consultation page: </w:t>
      </w:r>
      <w:hyperlink r:id="rId1" w:tooltip="NITP Consultation Hub website link" w:history="1">
        <w:r w:rsidRPr="002D6F7B">
          <w:rPr>
            <w:rStyle w:val="Hyperlink"/>
            <w:rFonts w:cs="Arial"/>
            <w:lang w:val="en"/>
          </w:rPr>
          <w:t>https://consult.industry.gov.au/national-measurement-institute/nitp-reform/</w:t>
        </w:r>
      </w:hyperlink>
    </w:p>
  </w:footnote>
  <w:footnote w:id="20">
    <w:p w14:paraId="2AD431E5" w14:textId="77777777" w:rsidR="003E2473" w:rsidRDefault="003E2473" w:rsidP="004A0F90">
      <w:pPr>
        <w:pStyle w:val="FootnoteText"/>
      </w:pPr>
      <w:r w:rsidRPr="00BF02C7">
        <w:rPr>
          <w:rStyle w:val="FootnoteReference"/>
        </w:rPr>
        <w:footnoteRef/>
      </w:r>
      <w:r w:rsidRPr="00BF02C7">
        <w:t xml:space="preserve"> </w:t>
      </w:r>
      <w:r w:rsidRPr="008A19DF">
        <w:t>Section</w:t>
      </w:r>
      <w:r>
        <w:t xml:space="preserve"> 18GG(2) of the Act.</w:t>
      </w:r>
    </w:p>
  </w:footnote>
  <w:footnote w:id="21">
    <w:p w14:paraId="0304B355" w14:textId="67E6443C" w:rsidR="003E2473" w:rsidRPr="00911E11" w:rsidRDefault="003E2473" w:rsidP="00555EEA">
      <w:pPr>
        <w:pStyle w:val="FootnoteText"/>
        <w:rPr>
          <w:i/>
        </w:rPr>
      </w:pPr>
      <w:r>
        <w:rPr>
          <w:rStyle w:val="FootnoteReference"/>
        </w:rPr>
        <w:footnoteRef/>
      </w:r>
      <w:r>
        <w:t xml:space="preserve"> Regulation 64 of the NMR </w:t>
      </w:r>
      <w:r w:rsidR="008D08C4">
        <w:t>(</w:t>
      </w:r>
      <w:r w:rsidRPr="00911E11">
        <w:rPr>
          <w:i/>
        </w:rPr>
        <w:t>Examination of instruments for compliance with approved patterns</w:t>
      </w:r>
      <w:r w:rsidR="008D08C4">
        <w:rPr>
          <w:i/>
        </w:rPr>
        <w:t>)</w:t>
      </w:r>
      <w:r>
        <w:rPr>
          <w:i/>
        </w:rPr>
        <w:t>.</w:t>
      </w:r>
    </w:p>
  </w:footnote>
  <w:footnote w:id="22">
    <w:p w14:paraId="38B23037" w14:textId="77777777" w:rsidR="003E2473" w:rsidRDefault="003E2473" w:rsidP="008425B5">
      <w:pPr>
        <w:pStyle w:val="FootnoteText"/>
      </w:pPr>
      <w:r>
        <w:rPr>
          <w:rStyle w:val="FootnoteReference"/>
        </w:rPr>
        <w:footnoteRef/>
      </w:r>
      <w:r>
        <w:t xml:space="preserve"> See Modules C through H of the </w:t>
      </w:r>
      <w:hyperlink r:id="rId2" w:history="1">
        <w:r w:rsidRPr="00E67F02">
          <w:rPr>
            <w:rStyle w:val="Hyperlink"/>
          </w:rPr>
          <w:t>MID</w:t>
        </w:r>
      </w:hyperlink>
      <w:r>
        <w:t>.</w:t>
      </w:r>
    </w:p>
  </w:footnote>
  <w:footnote w:id="23">
    <w:p w14:paraId="7C4B4AC5" w14:textId="77777777" w:rsidR="003E2473" w:rsidRDefault="003E2473" w:rsidP="00794ECF">
      <w:pPr>
        <w:pStyle w:val="FootnoteText"/>
      </w:pPr>
      <w:r>
        <w:rPr>
          <w:rStyle w:val="FootnoteReference"/>
        </w:rPr>
        <w:footnoteRef/>
      </w:r>
      <w:r>
        <w:t xml:space="preserve"> Regulation 37 of the NMR </w:t>
      </w:r>
      <w:r w:rsidRPr="00F11A9A">
        <w:rPr>
          <w:i/>
        </w:rPr>
        <w:t>(Certification of measuring instrument).</w:t>
      </w:r>
    </w:p>
  </w:footnote>
  <w:footnote w:id="24">
    <w:p w14:paraId="4307A57F" w14:textId="77777777" w:rsidR="003E2473" w:rsidRPr="00F11A9A" w:rsidRDefault="003E2473" w:rsidP="00224A32">
      <w:pPr>
        <w:pStyle w:val="FootnoteText"/>
        <w:rPr>
          <w:i/>
        </w:rPr>
      </w:pPr>
      <w:r>
        <w:rPr>
          <w:rStyle w:val="FootnoteReference"/>
        </w:rPr>
        <w:footnoteRef/>
      </w:r>
      <w:r>
        <w:t xml:space="preserve"> The capability requirements are outlined in Regulations 73 of the NMR </w:t>
      </w:r>
      <w:r w:rsidRPr="00F11A9A">
        <w:rPr>
          <w:i/>
        </w:rPr>
        <w:t>(Verifying and certifying authorities).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05A29"/>
    <w:multiLevelType w:val="multilevel"/>
    <w:tmpl w:val="553A008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16957B1"/>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141462"/>
    <w:multiLevelType w:val="hybridMultilevel"/>
    <w:tmpl w:val="4FA037C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FAE2C4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9B4F9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F965E6"/>
    <w:multiLevelType w:val="hybridMultilevel"/>
    <w:tmpl w:val="F43E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C7003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DB379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317877"/>
    <w:multiLevelType w:val="hybridMultilevel"/>
    <w:tmpl w:val="754A0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6D1820"/>
    <w:multiLevelType w:val="hybridMultilevel"/>
    <w:tmpl w:val="87404822"/>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1C8305A2"/>
    <w:multiLevelType w:val="hybridMultilevel"/>
    <w:tmpl w:val="9F3C724E"/>
    <w:lvl w:ilvl="0" w:tplc="6ECE3760">
      <w:start w:val="1"/>
      <w:numFmt w:val="lowerLetter"/>
      <w:lvlText w:val="(%1)"/>
      <w:lvlJc w:val="left"/>
      <w:pPr>
        <w:ind w:left="1440" w:hanging="360"/>
      </w:pPr>
      <w:rPr>
        <w:rFonts w:asciiTheme="minorHAnsi" w:eastAsiaTheme="minorHAnsi" w:hAnsiTheme="minorHAnsi" w:cstheme="minorBidi"/>
      </w:rPr>
    </w:lvl>
    <w:lvl w:ilvl="1" w:tplc="64660094">
      <w:start w:val="1"/>
      <w:numFmt w:val="lowerRoman"/>
      <w:lvlText w:val="%2)"/>
      <w:lvlJc w:val="left"/>
      <w:pPr>
        <w:ind w:left="2160" w:hanging="360"/>
      </w:pPr>
      <w:rPr>
        <w:rFont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1D836BD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731BA"/>
    <w:multiLevelType w:val="hybridMultilevel"/>
    <w:tmpl w:val="F496E4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E705C9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8A121E"/>
    <w:multiLevelType w:val="hybridMultilevel"/>
    <w:tmpl w:val="6C4C2B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7DF4E7E"/>
    <w:multiLevelType w:val="multilevel"/>
    <w:tmpl w:val="1FD2451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88D6C93"/>
    <w:multiLevelType w:val="hybridMultilevel"/>
    <w:tmpl w:val="4434D9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3936DC"/>
    <w:multiLevelType w:val="hybridMultilevel"/>
    <w:tmpl w:val="6E262262"/>
    <w:lvl w:ilvl="0" w:tplc="6ECE3760">
      <w:start w:val="1"/>
      <w:numFmt w:val="lowerLetter"/>
      <w:lvlText w:val="(%1)"/>
      <w:lvlJc w:val="left"/>
      <w:pPr>
        <w:ind w:left="1440" w:hanging="360"/>
      </w:pPr>
      <w:rPr>
        <w:rFonts w:asciiTheme="minorHAnsi" w:eastAsiaTheme="minorHAnsi" w:hAnsiTheme="minorHAnsi" w:cstheme="minorBidi"/>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8" w15:restartNumberingAfterBreak="0">
    <w:nsid w:val="301012F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45349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60685B"/>
    <w:multiLevelType w:val="hybridMultilevel"/>
    <w:tmpl w:val="6AA6FE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630008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3C28EF"/>
    <w:multiLevelType w:val="multilevel"/>
    <w:tmpl w:val="42C269B8"/>
    <w:lvl w:ilvl="0">
      <w:start w:val="4"/>
      <w:numFmt w:val="decimal"/>
      <w:lvlText w:val="%1"/>
      <w:lvlJc w:val="left"/>
      <w:pPr>
        <w:ind w:left="360" w:hanging="360"/>
      </w:pPr>
      <w:rPr>
        <w:rFonts w:eastAsiaTheme="minorHAnsi" w:hint="default"/>
        <w:color w:val="0563C1" w:themeColor="hyperlink"/>
        <w:u w:val="single"/>
      </w:rPr>
    </w:lvl>
    <w:lvl w:ilvl="1">
      <w:start w:val="4"/>
      <w:numFmt w:val="decimal"/>
      <w:lvlText w:val="%1.%2"/>
      <w:lvlJc w:val="left"/>
      <w:pPr>
        <w:ind w:left="940" w:hanging="720"/>
      </w:pPr>
      <w:rPr>
        <w:rFonts w:eastAsiaTheme="minorHAnsi" w:hint="default"/>
        <w:color w:val="0563C1" w:themeColor="hyperlink"/>
        <w:u w:val="single"/>
      </w:rPr>
    </w:lvl>
    <w:lvl w:ilvl="2">
      <w:start w:val="1"/>
      <w:numFmt w:val="decimal"/>
      <w:lvlText w:val="%1.%2.%3"/>
      <w:lvlJc w:val="left"/>
      <w:pPr>
        <w:ind w:left="1160" w:hanging="720"/>
      </w:pPr>
      <w:rPr>
        <w:rFonts w:eastAsiaTheme="minorHAnsi" w:hint="default"/>
        <w:color w:val="0563C1" w:themeColor="hyperlink"/>
        <w:u w:val="single"/>
      </w:rPr>
    </w:lvl>
    <w:lvl w:ilvl="3">
      <w:start w:val="1"/>
      <w:numFmt w:val="decimal"/>
      <w:lvlText w:val="%1.%2.%3.%4"/>
      <w:lvlJc w:val="left"/>
      <w:pPr>
        <w:ind w:left="1740" w:hanging="1080"/>
      </w:pPr>
      <w:rPr>
        <w:rFonts w:eastAsiaTheme="minorHAnsi" w:hint="default"/>
        <w:color w:val="0563C1" w:themeColor="hyperlink"/>
        <w:u w:val="single"/>
      </w:rPr>
    </w:lvl>
    <w:lvl w:ilvl="4">
      <w:start w:val="1"/>
      <w:numFmt w:val="decimal"/>
      <w:lvlText w:val="%1.%2.%3.%4.%5"/>
      <w:lvlJc w:val="left"/>
      <w:pPr>
        <w:ind w:left="2320" w:hanging="1440"/>
      </w:pPr>
      <w:rPr>
        <w:rFonts w:eastAsiaTheme="minorHAnsi" w:hint="default"/>
        <w:color w:val="0563C1" w:themeColor="hyperlink"/>
        <w:u w:val="single"/>
      </w:rPr>
    </w:lvl>
    <w:lvl w:ilvl="5">
      <w:start w:val="1"/>
      <w:numFmt w:val="decimal"/>
      <w:lvlText w:val="%1.%2.%3.%4.%5.%6"/>
      <w:lvlJc w:val="left"/>
      <w:pPr>
        <w:ind w:left="2900" w:hanging="1800"/>
      </w:pPr>
      <w:rPr>
        <w:rFonts w:eastAsiaTheme="minorHAnsi" w:hint="default"/>
        <w:color w:val="0563C1" w:themeColor="hyperlink"/>
        <w:u w:val="single"/>
      </w:rPr>
    </w:lvl>
    <w:lvl w:ilvl="6">
      <w:start w:val="1"/>
      <w:numFmt w:val="decimal"/>
      <w:lvlText w:val="%1.%2.%3.%4.%5.%6.%7"/>
      <w:lvlJc w:val="left"/>
      <w:pPr>
        <w:ind w:left="3120" w:hanging="1800"/>
      </w:pPr>
      <w:rPr>
        <w:rFonts w:eastAsiaTheme="minorHAnsi" w:hint="default"/>
        <w:color w:val="0563C1" w:themeColor="hyperlink"/>
        <w:u w:val="single"/>
      </w:rPr>
    </w:lvl>
    <w:lvl w:ilvl="7">
      <w:start w:val="1"/>
      <w:numFmt w:val="decimal"/>
      <w:lvlText w:val="%1.%2.%3.%4.%5.%6.%7.%8"/>
      <w:lvlJc w:val="left"/>
      <w:pPr>
        <w:ind w:left="3700" w:hanging="2160"/>
      </w:pPr>
      <w:rPr>
        <w:rFonts w:eastAsiaTheme="minorHAnsi" w:hint="default"/>
        <w:color w:val="0563C1" w:themeColor="hyperlink"/>
        <w:u w:val="single"/>
      </w:rPr>
    </w:lvl>
    <w:lvl w:ilvl="8">
      <w:start w:val="1"/>
      <w:numFmt w:val="decimal"/>
      <w:lvlText w:val="%1.%2.%3.%4.%5.%6.%7.%8.%9"/>
      <w:lvlJc w:val="left"/>
      <w:pPr>
        <w:ind w:left="4280" w:hanging="2520"/>
      </w:pPr>
      <w:rPr>
        <w:rFonts w:eastAsiaTheme="minorHAnsi" w:hint="default"/>
        <w:color w:val="0563C1" w:themeColor="hyperlink"/>
        <w:u w:val="single"/>
      </w:rPr>
    </w:lvl>
  </w:abstractNum>
  <w:abstractNum w:abstractNumId="23" w15:restartNumberingAfterBreak="0">
    <w:nsid w:val="3C8C7C9A"/>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D61F7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D0B0159"/>
    <w:multiLevelType w:val="hybridMultilevel"/>
    <w:tmpl w:val="ABDCB3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2987C22"/>
    <w:multiLevelType w:val="hybridMultilevel"/>
    <w:tmpl w:val="ECE495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578480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62838A8"/>
    <w:multiLevelType w:val="multilevel"/>
    <w:tmpl w:val="75F488D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C953CE7"/>
    <w:multiLevelType w:val="hybridMultilevel"/>
    <w:tmpl w:val="36826F3A"/>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4F11737B"/>
    <w:multiLevelType w:val="multilevel"/>
    <w:tmpl w:val="213C3EA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3F5C1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F757538"/>
    <w:multiLevelType w:val="hybridMultilevel"/>
    <w:tmpl w:val="4D74AA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5C6671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F17914"/>
    <w:multiLevelType w:val="hybridMultilevel"/>
    <w:tmpl w:val="AA60960E"/>
    <w:lvl w:ilvl="0" w:tplc="0C090001">
      <w:start w:val="1"/>
      <w:numFmt w:val="bullet"/>
      <w:lvlText w:val=""/>
      <w:lvlJc w:val="left"/>
      <w:pPr>
        <w:ind w:left="720" w:hanging="360"/>
      </w:pPr>
      <w:rPr>
        <w:rFonts w:ascii="Symbol" w:hAnsi="Symbol"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F0A5A79"/>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13F00F7"/>
    <w:multiLevelType w:val="hybridMultilevel"/>
    <w:tmpl w:val="8F6001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54F485A"/>
    <w:multiLevelType w:val="hybridMultilevel"/>
    <w:tmpl w:val="AEDCC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5C44B1F"/>
    <w:multiLevelType w:val="multilevel"/>
    <w:tmpl w:val="3E60593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7E3319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DA10F92"/>
    <w:multiLevelType w:val="hybridMultilevel"/>
    <w:tmpl w:val="10B081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15:restartNumberingAfterBreak="0">
    <w:nsid w:val="6F2A7BCB"/>
    <w:multiLevelType w:val="hybridMultilevel"/>
    <w:tmpl w:val="E03867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FDB7F02"/>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0B10FE7"/>
    <w:multiLevelType w:val="hybridMultilevel"/>
    <w:tmpl w:val="633C6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0C919C3"/>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F2068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5460C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A92ADC"/>
    <w:multiLevelType w:val="hybridMultilevel"/>
    <w:tmpl w:val="C82CD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77500B5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B9A0B1D"/>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C85652"/>
    <w:multiLevelType w:val="hybridMultilevel"/>
    <w:tmpl w:val="E70AF58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1" w15:restartNumberingAfterBreak="0">
    <w:nsid w:val="7CDE2646"/>
    <w:multiLevelType w:val="hybridMultilevel"/>
    <w:tmpl w:val="E6EC80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7EA54E9A"/>
    <w:multiLevelType w:val="hybridMultilevel"/>
    <w:tmpl w:val="3A3220B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0"/>
  </w:num>
  <w:num w:numId="2">
    <w:abstractNumId w:val="5"/>
  </w:num>
  <w:num w:numId="3">
    <w:abstractNumId w:val="25"/>
  </w:num>
  <w:num w:numId="4">
    <w:abstractNumId w:val="20"/>
  </w:num>
  <w:num w:numId="5">
    <w:abstractNumId w:val="17"/>
  </w:num>
  <w:num w:numId="6">
    <w:abstractNumId w:val="10"/>
  </w:num>
  <w:num w:numId="7">
    <w:abstractNumId w:val="36"/>
  </w:num>
  <w:num w:numId="8">
    <w:abstractNumId w:val="12"/>
  </w:num>
  <w:num w:numId="9">
    <w:abstractNumId w:val="51"/>
  </w:num>
  <w:num w:numId="10">
    <w:abstractNumId w:val="2"/>
  </w:num>
  <w:num w:numId="11">
    <w:abstractNumId w:val="14"/>
  </w:num>
  <w:num w:numId="12">
    <w:abstractNumId w:val="52"/>
  </w:num>
  <w:num w:numId="13">
    <w:abstractNumId w:val="8"/>
  </w:num>
  <w:num w:numId="14">
    <w:abstractNumId w:val="34"/>
  </w:num>
  <w:num w:numId="15">
    <w:abstractNumId w:val="43"/>
  </w:num>
  <w:num w:numId="16">
    <w:abstractNumId w:val="41"/>
  </w:num>
  <w:num w:numId="17">
    <w:abstractNumId w:val="9"/>
  </w:num>
  <w:num w:numId="18">
    <w:abstractNumId w:val="32"/>
  </w:num>
  <w:num w:numId="19">
    <w:abstractNumId w:val="47"/>
  </w:num>
  <w:num w:numId="20">
    <w:abstractNumId w:val="37"/>
  </w:num>
  <w:num w:numId="21">
    <w:abstractNumId w:val="29"/>
  </w:num>
  <w:num w:numId="22">
    <w:abstractNumId w:val="26"/>
  </w:num>
  <w:num w:numId="23">
    <w:abstractNumId w:val="40"/>
  </w:num>
  <w:num w:numId="24">
    <w:abstractNumId w:val="13"/>
  </w:num>
  <w:num w:numId="25">
    <w:abstractNumId w:val="49"/>
  </w:num>
  <w:num w:numId="26">
    <w:abstractNumId w:val="24"/>
  </w:num>
  <w:num w:numId="27">
    <w:abstractNumId w:val="31"/>
  </w:num>
  <w:num w:numId="28">
    <w:abstractNumId w:val="7"/>
  </w:num>
  <w:num w:numId="29">
    <w:abstractNumId w:val="15"/>
  </w:num>
  <w:num w:numId="30">
    <w:abstractNumId w:val="4"/>
  </w:num>
  <w:num w:numId="31">
    <w:abstractNumId w:val="21"/>
  </w:num>
  <w:num w:numId="32">
    <w:abstractNumId w:val="28"/>
  </w:num>
  <w:num w:numId="33">
    <w:abstractNumId w:val="44"/>
  </w:num>
  <w:num w:numId="34">
    <w:abstractNumId w:val="30"/>
  </w:num>
  <w:num w:numId="35">
    <w:abstractNumId w:val="19"/>
  </w:num>
  <w:num w:numId="36">
    <w:abstractNumId w:val="33"/>
  </w:num>
  <w:num w:numId="37">
    <w:abstractNumId w:val="39"/>
  </w:num>
  <w:num w:numId="38">
    <w:abstractNumId w:val="48"/>
  </w:num>
  <w:num w:numId="39">
    <w:abstractNumId w:val="0"/>
  </w:num>
  <w:num w:numId="40">
    <w:abstractNumId w:val="46"/>
  </w:num>
  <w:num w:numId="41">
    <w:abstractNumId w:val="11"/>
  </w:num>
  <w:num w:numId="42">
    <w:abstractNumId w:val="38"/>
  </w:num>
  <w:num w:numId="43">
    <w:abstractNumId w:val="42"/>
  </w:num>
  <w:num w:numId="44">
    <w:abstractNumId w:val="45"/>
  </w:num>
  <w:num w:numId="45">
    <w:abstractNumId w:val="3"/>
  </w:num>
  <w:num w:numId="46">
    <w:abstractNumId w:val="16"/>
  </w:num>
  <w:num w:numId="47">
    <w:abstractNumId w:val="22"/>
  </w:num>
  <w:num w:numId="48">
    <w:abstractNumId w:val="35"/>
  </w:num>
  <w:num w:numId="49">
    <w:abstractNumId w:val="6"/>
  </w:num>
  <w:num w:numId="50">
    <w:abstractNumId w:val="18"/>
  </w:num>
  <w:num w:numId="51">
    <w:abstractNumId w:val="27"/>
  </w:num>
  <w:num w:numId="52">
    <w:abstractNumId w:val="1"/>
  </w:num>
  <w:num w:numId="53">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A2C"/>
    <w:rsid w:val="00000256"/>
    <w:rsid w:val="0000046E"/>
    <w:rsid w:val="00000E8F"/>
    <w:rsid w:val="00001E8C"/>
    <w:rsid w:val="00002D74"/>
    <w:rsid w:val="00005341"/>
    <w:rsid w:val="00005BEF"/>
    <w:rsid w:val="00006D01"/>
    <w:rsid w:val="000077C7"/>
    <w:rsid w:val="00007BD1"/>
    <w:rsid w:val="00010082"/>
    <w:rsid w:val="00017F4E"/>
    <w:rsid w:val="000200E6"/>
    <w:rsid w:val="000209A9"/>
    <w:rsid w:val="00020C79"/>
    <w:rsid w:val="00020D83"/>
    <w:rsid w:val="00021220"/>
    <w:rsid w:val="00021E13"/>
    <w:rsid w:val="00021FD6"/>
    <w:rsid w:val="00022072"/>
    <w:rsid w:val="00025277"/>
    <w:rsid w:val="0002532D"/>
    <w:rsid w:val="0002565A"/>
    <w:rsid w:val="00025E1A"/>
    <w:rsid w:val="00027630"/>
    <w:rsid w:val="00027681"/>
    <w:rsid w:val="00027B9E"/>
    <w:rsid w:val="00027CEA"/>
    <w:rsid w:val="00030520"/>
    <w:rsid w:val="0003115A"/>
    <w:rsid w:val="00031E99"/>
    <w:rsid w:val="00032F38"/>
    <w:rsid w:val="00033DF2"/>
    <w:rsid w:val="00034A5B"/>
    <w:rsid w:val="00036E02"/>
    <w:rsid w:val="00036F07"/>
    <w:rsid w:val="0004146A"/>
    <w:rsid w:val="00041C52"/>
    <w:rsid w:val="000426E6"/>
    <w:rsid w:val="00043C76"/>
    <w:rsid w:val="00044D14"/>
    <w:rsid w:val="000464CB"/>
    <w:rsid w:val="00046A6A"/>
    <w:rsid w:val="00047526"/>
    <w:rsid w:val="0004787B"/>
    <w:rsid w:val="000503CA"/>
    <w:rsid w:val="00050BDD"/>
    <w:rsid w:val="00050C70"/>
    <w:rsid w:val="00050D0C"/>
    <w:rsid w:val="00051133"/>
    <w:rsid w:val="000517BF"/>
    <w:rsid w:val="00051EF5"/>
    <w:rsid w:val="00052454"/>
    <w:rsid w:val="000528F2"/>
    <w:rsid w:val="00052CE5"/>
    <w:rsid w:val="00053C35"/>
    <w:rsid w:val="00054CD5"/>
    <w:rsid w:val="00055F97"/>
    <w:rsid w:val="000576C2"/>
    <w:rsid w:val="000579BB"/>
    <w:rsid w:val="0006001F"/>
    <w:rsid w:val="0006116C"/>
    <w:rsid w:val="0006138A"/>
    <w:rsid w:val="00063256"/>
    <w:rsid w:val="00063B61"/>
    <w:rsid w:val="0006520F"/>
    <w:rsid w:val="000652CB"/>
    <w:rsid w:val="000653B9"/>
    <w:rsid w:val="000654F1"/>
    <w:rsid w:val="000669E4"/>
    <w:rsid w:val="00067613"/>
    <w:rsid w:val="00070356"/>
    <w:rsid w:val="00070899"/>
    <w:rsid w:val="00072114"/>
    <w:rsid w:val="00073220"/>
    <w:rsid w:val="000733FE"/>
    <w:rsid w:val="000740AB"/>
    <w:rsid w:val="000741C5"/>
    <w:rsid w:val="0007465C"/>
    <w:rsid w:val="00074CEA"/>
    <w:rsid w:val="00076199"/>
    <w:rsid w:val="00076E31"/>
    <w:rsid w:val="00077B7C"/>
    <w:rsid w:val="000800D8"/>
    <w:rsid w:val="000811DB"/>
    <w:rsid w:val="0008156F"/>
    <w:rsid w:val="00082E85"/>
    <w:rsid w:val="000835B1"/>
    <w:rsid w:val="00084766"/>
    <w:rsid w:val="00085038"/>
    <w:rsid w:val="00085D00"/>
    <w:rsid w:val="00086A0B"/>
    <w:rsid w:val="00087461"/>
    <w:rsid w:val="00090B86"/>
    <w:rsid w:val="000912B4"/>
    <w:rsid w:val="0009194B"/>
    <w:rsid w:val="00091AD8"/>
    <w:rsid w:val="000934EA"/>
    <w:rsid w:val="0009352F"/>
    <w:rsid w:val="00093626"/>
    <w:rsid w:val="0009410D"/>
    <w:rsid w:val="0009513A"/>
    <w:rsid w:val="0009544B"/>
    <w:rsid w:val="00096A95"/>
    <w:rsid w:val="00097BAC"/>
    <w:rsid w:val="00097FE7"/>
    <w:rsid w:val="000A0209"/>
    <w:rsid w:val="000A0D6B"/>
    <w:rsid w:val="000A5365"/>
    <w:rsid w:val="000A559E"/>
    <w:rsid w:val="000A5F2D"/>
    <w:rsid w:val="000A5F99"/>
    <w:rsid w:val="000A69A0"/>
    <w:rsid w:val="000B077C"/>
    <w:rsid w:val="000B18B5"/>
    <w:rsid w:val="000B1DC0"/>
    <w:rsid w:val="000B3E1E"/>
    <w:rsid w:val="000B4169"/>
    <w:rsid w:val="000B5A10"/>
    <w:rsid w:val="000B6E88"/>
    <w:rsid w:val="000C02BA"/>
    <w:rsid w:val="000C02D2"/>
    <w:rsid w:val="000C09DB"/>
    <w:rsid w:val="000C21B4"/>
    <w:rsid w:val="000C243F"/>
    <w:rsid w:val="000C346A"/>
    <w:rsid w:val="000C4AE2"/>
    <w:rsid w:val="000C5055"/>
    <w:rsid w:val="000C5A57"/>
    <w:rsid w:val="000C639E"/>
    <w:rsid w:val="000D09B9"/>
    <w:rsid w:val="000D2776"/>
    <w:rsid w:val="000D2BF8"/>
    <w:rsid w:val="000D385A"/>
    <w:rsid w:val="000D45F0"/>
    <w:rsid w:val="000D5255"/>
    <w:rsid w:val="000D6DE0"/>
    <w:rsid w:val="000D7A8B"/>
    <w:rsid w:val="000E09DF"/>
    <w:rsid w:val="000E0D1E"/>
    <w:rsid w:val="000E1C00"/>
    <w:rsid w:val="000E1C79"/>
    <w:rsid w:val="000E2290"/>
    <w:rsid w:val="000E324E"/>
    <w:rsid w:val="000E33BB"/>
    <w:rsid w:val="000E3828"/>
    <w:rsid w:val="000E4422"/>
    <w:rsid w:val="000E463E"/>
    <w:rsid w:val="000E671C"/>
    <w:rsid w:val="000E6CBD"/>
    <w:rsid w:val="000E70E4"/>
    <w:rsid w:val="000E75AC"/>
    <w:rsid w:val="000E7C2B"/>
    <w:rsid w:val="000F1F09"/>
    <w:rsid w:val="000F2E03"/>
    <w:rsid w:val="000F4478"/>
    <w:rsid w:val="000F4E15"/>
    <w:rsid w:val="000F79B8"/>
    <w:rsid w:val="001007F3"/>
    <w:rsid w:val="00104738"/>
    <w:rsid w:val="00104D4A"/>
    <w:rsid w:val="0010585C"/>
    <w:rsid w:val="00105E2A"/>
    <w:rsid w:val="00106141"/>
    <w:rsid w:val="001067D2"/>
    <w:rsid w:val="00106841"/>
    <w:rsid w:val="001069A8"/>
    <w:rsid w:val="00107995"/>
    <w:rsid w:val="00107FF2"/>
    <w:rsid w:val="00111A41"/>
    <w:rsid w:val="0011298B"/>
    <w:rsid w:val="00112FB1"/>
    <w:rsid w:val="00114112"/>
    <w:rsid w:val="001146E0"/>
    <w:rsid w:val="001149F6"/>
    <w:rsid w:val="0011537B"/>
    <w:rsid w:val="001161F9"/>
    <w:rsid w:val="001200F0"/>
    <w:rsid w:val="00121279"/>
    <w:rsid w:val="001230EB"/>
    <w:rsid w:val="00123DB1"/>
    <w:rsid w:val="00125876"/>
    <w:rsid w:val="00125E6F"/>
    <w:rsid w:val="00127587"/>
    <w:rsid w:val="00130043"/>
    <w:rsid w:val="00131E61"/>
    <w:rsid w:val="001331D1"/>
    <w:rsid w:val="00133D45"/>
    <w:rsid w:val="0013543D"/>
    <w:rsid w:val="00135585"/>
    <w:rsid w:val="00135CAE"/>
    <w:rsid w:val="001367C4"/>
    <w:rsid w:val="00140037"/>
    <w:rsid w:val="00140AFF"/>
    <w:rsid w:val="001410F9"/>
    <w:rsid w:val="00143135"/>
    <w:rsid w:val="0014471D"/>
    <w:rsid w:val="00144898"/>
    <w:rsid w:val="001455E4"/>
    <w:rsid w:val="00146723"/>
    <w:rsid w:val="001468C0"/>
    <w:rsid w:val="00150080"/>
    <w:rsid w:val="00151172"/>
    <w:rsid w:val="001516FD"/>
    <w:rsid w:val="0015172B"/>
    <w:rsid w:val="00151AA1"/>
    <w:rsid w:val="00153876"/>
    <w:rsid w:val="001538FB"/>
    <w:rsid w:val="001546C3"/>
    <w:rsid w:val="00155EE1"/>
    <w:rsid w:val="0016064E"/>
    <w:rsid w:val="001608D6"/>
    <w:rsid w:val="001609F4"/>
    <w:rsid w:val="0016145D"/>
    <w:rsid w:val="00161F50"/>
    <w:rsid w:val="0016443A"/>
    <w:rsid w:val="00164445"/>
    <w:rsid w:val="0016544A"/>
    <w:rsid w:val="00166869"/>
    <w:rsid w:val="00167D23"/>
    <w:rsid w:val="001701B1"/>
    <w:rsid w:val="0017053A"/>
    <w:rsid w:val="001710ED"/>
    <w:rsid w:val="00171141"/>
    <w:rsid w:val="00171E03"/>
    <w:rsid w:val="001721C3"/>
    <w:rsid w:val="00172811"/>
    <w:rsid w:val="0017300B"/>
    <w:rsid w:val="0017421A"/>
    <w:rsid w:val="00174A2D"/>
    <w:rsid w:val="00175876"/>
    <w:rsid w:val="00177CFE"/>
    <w:rsid w:val="0018096A"/>
    <w:rsid w:val="00180E08"/>
    <w:rsid w:val="00181822"/>
    <w:rsid w:val="00182F1F"/>
    <w:rsid w:val="001834D2"/>
    <w:rsid w:val="0018397A"/>
    <w:rsid w:val="00183AD6"/>
    <w:rsid w:val="00184A3B"/>
    <w:rsid w:val="0018627F"/>
    <w:rsid w:val="00186ADF"/>
    <w:rsid w:val="001909F4"/>
    <w:rsid w:val="00191850"/>
    <w:rsid w:val="0019205F"/>
    <w:rsid w:val="00192C1A"/>
    <w:rsid w:val="001939E3"/>
    <w:rsid w:val="00193D77"/>
    <w:rsid w:val="00193FC2"/>
    <w:rsid w:val="001946EF"/>
    <w:rsid w:val="0019473F"/>
    <w:rsid w:val="001951E8"/>
    <w:rsid w:val="001956EB"/>
    <w:rsid w:val="001968C5"/>
    <w:rsid w:val="00196A5D"/>
    <w:rsid w:val="001A2720"/>
    <w:rsid w:val="001A3B62"/>
    <w:rsid w:val="001A71DE"/>
    <w:rsid w:val="001A753F"/>
    <w:rsid w:val="001B0C22"/>
    <w:rsid w:val="001B1B37"/>
    <w:rsid w:val="001B3E3F"/>
    <w:rsid w:val="001B4573"/>
    <w:rsid w:val="001B4865"/>
    <w:rsid w:val="001B5009"/>
    <w:rsid w:val="001B5FFE"/>
    <w:rsid w:val="001B6DDB"/>
    <w:rsid w:val="001B709F"/>
    <w:rsid w:val="001C04E3"/>
    <w:rsid w:val="001C05D5"/>
    <w:rsid w:val="001C0FB8"/>
    <w:rsid w:val="001C14A7"/>
    <w:rsid w:val="001C1D94"/>
    <w:rsid w:val="001C1EBB"/>
    <w:rsid w:val="001C20EF"/>
    <w:rsid w:val="001C2EB5"/>
    <w:rsid w:val="001C36D1"/>
    <w:rsid w:val="001C40D6"/>
    <w:rsid w:val="001C415C"/>
    <w:rsid w:val="001C46FB"/>
    <w:rsid w:val="001C64B8"/>
    <w:rsid w:val="001C67A9"/>
    <w:rsid w:val="001D07E6"/>
    <w:rsid w:val="001D21D2"/>
    <w:rsid w:val="001D2942"/>
    <w:rsid w:val="001D382C"/>
    <w:rsid w:val="001D3C64"/>
    <w:rsid w:val="001D4F85"/>
    <w:rsid w:val="001D50A2"/>
    <w:rsid w:val="001D56ED"/>
    <w:rsid w:val="001D62F0"/>
    <w:rsid w:val="001D771E"/>
    <w:rsid w:val="001E04AD"/>
    <w:rsid w:val="001E43D5"/>
    <w:rsid w:val="001E4777"/>
    <w:rsid w:val="001E4EAA"/>
    <w:rsid w:val="001E55BA"/>
    <w:rsid w:val="001E5889"/>
    <w:rsid w:val="001E72BA"/>
    <w:rsid w:val="001F019F"/>
    <w:rsid w:val="001F02C6"/>
    <w:rsid w:val="001F1B8A"/>
    <w:rsid w:val="001F334E"/>
    <w:rsid w:val="001F3AA6"/>
    <w:rsid w:val="001F448F"/>
    <w:rsid w:val="001F546A"/>
    <w:rsid w:val="001F5F93"/>
    <w:rsid w:val="001F64CB"/>
    <w:rsid w:val="001F76A7"/>
    <w:rsid w:val="001F7E8D"/>
    <w:rsid w:val="0020035B"/>
    <w:rsid w:val="0020085C"/>
    <w:rsid w:val="00200943"/>
    <w:rsid w:val="00201462"/>
    <w:rsid w:val="002016D5"/>
    <w:rsid w:val="002017CA"/>
    <w:rsid w:val="0020182C"/>
    <w:rsid w:val="002030FC"/>
    <w:rsid w:val="0020337E"/>
    <w:rsid w:val="0020406D"/>
    <w:rsid w:val="00204A23"/>
    <w:rsid w:val="00204B26"/>
    <w:rsid w:val="00205079"/>
    <w:rsid w:val="0020517C"/>
    <w:rsid w:val="00207605"/>
    <w:rsid w:val="002076BC"/>
    <w:rsid w:val="0021063A"/>
    <w:rsid w:val="00210EB9"/>
    <w:rsid w:val="002110E3"/>
    <w:rsid w:val="00211353"/>
    <w:rsid w:val="002117D9"/>
    <w:rsid w:val="002121BC"/>
    <w:rsid w:val="00212C16"/>
    <w:rsid w:val="00213B10"/>
    <w:rsid w:val="00214B02"/>
    <w:rsid w:val="0021768A"/>
    <w:rsid w:val="00220130"/>
    <w:rsid w:val="00220395"/>
    <w:rsid w:val="00223200"/>
    <w:rsid w:val="002240C1"/>
    <w:rsid w:val="0022430C"/>
    <w:rsid w:val="00224A32"/>
    <w:rsid w:val="00224D88"/>
    <w:rsid w:val="00225E3F"/>
    <w:rsid w:val="00227817"/>
    <w:rsid w:val="00230547"/>
    <w:rsid w:val="00233E66"/>
    <w:rsid w:val="00234B21"/>
    <w:rsid w:val="00235C76"/>
    <w:rsid w:val="00236117"/>
    <w:rsid w:val="00237E22"/>
    <w:rsid w:val="00237EEA"/>
    <w:rsid w:val="00240002"/>
    <w:rsid w:val="00240240"/>
    <w:rsid w:val="002403C5"/>
    <w:rsid w:val="00240D12"/>
    <w:rsid w:val="002411AB"/>
    <w:rsid w:val="002414C2"/>
    <w:rsid w:val="00241878"/>
    <w:rsid w:val="00241C47"/>
    <w:rsid w:val="002431F3"/>
    <w:rsid w:val="00244D48"/>
    <w:rsid w:val="00245856"/>
    <w:rsid w:val="0024688E"/>
    <w:rsid w:val="002471A2"/>
    <w:rsid w:val="00247B1B"/>
    <w:rsid w:val="00252148"/>
    <w:rsid w:val="00252186"/>
    <w:rsid w:val="00252E3A"/>
    <w:rsid w:val="0025548D"/>
    <w:rsid w:val="00256133"/>
    <w:rsid w:val="002573A1"/>
    <w:rsid w:val="00257F61"/>
    <w:rsid w:val="0026053B"/>
    <w:rsid w:val="002606A6"/>
    <w:rsid w:val="00261843"/>
    <w:rsid w:val="00262194"/>
    <w:rsid w:val="0026316B"/>
    <w:rsid w:val="002640F4"/>
    <w:rsid w:val="0026442A"/>
    <w:rsid w:val="00265C37"/>
    <w:rsid w:val="002668A1"/>
    <w:rsid w:val="002676E7"/>
    <w:rsid w:val="0026798D"/>
    <w:rsid w:val="00270CA6"/>
    <w:rsid w:val="002719F9"/>
    <w:rsid w:val="00271F8E"/>
    <w:rsid w:val="00274125"/>
    <w:rsid w:val="00274904"/>
    <w:rsid w:val="002757C2"/>
    <w:rsid w:val="00277F62"/>
    <w:rsid w:val="0028093E"/>
    <w:rsid w:val="00281037"/>
    <w:rsid w:val="002816BC"/>
    <w:rsid w:val="00283465"/>
    <w:rsid w:val="00283B04"/>
    <w:rsid w:val="00284205"/>
    <w:rsid w:val="002860FB"/>
    <w:rsid w:val="00286F6D"/>
    <w:rsid w:val="0029142B"/>
    <w:rsid w:val="002949D9"/>
    <w:rsid w:val="00294B89"/>
    <w:rsid w:val="002952A4"/>
    <w:rsid w:val="002969A2"/>
    <w:rsid w:val="00297CF2"/>
    <w:rsid w:val="002A115F"/>
    <w:rsid w:val="002A1C7C"/>
    <w:rsid w:val="002A1F22"/>
    <w:rsid w:val="002A31E6"/>
    <w:rsid w:val="002A35D8"/>
    <w:rsid w:val="002A4627"/>
    <w:rsid w:val="002A4C9B"/>
    <w:rsid w:val="002A5332"/>
    <w:rsid w:val="002A5AE3"/>
    <w:rsid w:val="002A6474"/>
    <w:rsid w:val="002A6C1B"/>
    <w:rsid w:val="002A6C20"/>
    <w:rsid w:val="002A6D67"/>
    <w:rsid w:val="002A6EF0"/>
    <w:rsid w:val="002B01E4"/>
    <w:rsid w:val="002B1346"/>
    <w:rsid w:val="002B2B06"/>
    <w:rsid w:val="002B3E6E"/>
    <w:rsid w:val="002B5202"/>
    <w:rsid w:val="002C0C90"/>
    <w:rsid w:val="002C1803"/>
    <w:rsid w:val="002C1D1C"/>
    <w:rsid w:val="002C2967"/>
    <w:rsid w:val="002C3BE5"/>
    <w:rsid w:val="002C3D30"/>
    <w:rsid w:val="002C505B"/>
    <w:rsid w:val="002C556C"/>
    <w:rsid w:val="002C63A0"/>
    <w:rsid w:val="002C6501"/>
    <w:rsid w:val="002C7127"/>
    <w:rsid w:val="002D0B11"/>
    <w:rsid w:val="002D2647"/>
    <w:rsid w:val="002D54B0"/>
    <w:rsid w:val="002D68DB"/>
    <w:rsid w:val="002D6A7E"/>
    <w:rsid w:val="002D7724"/>
    <w:rsid w:val="002D7A31"/>
    <w:rsid w:val="002D7F1F"/>
    <w:rsid w:val="002E1762"/>
    <w:rsid w:val="002E202D"/>
    <w:rsid w:val="002E2798"/>
    <w:rsid w:val="002E3096"/>
    <w:rsid w:val="002F1209"/>
    <w:rsid w:val="002F1CD0"/>
    <w:rsid w:val="002F50DE"/>
    <w:rsid w:val="002F52A9"/>
    <w:rsid w:val="002F5C42"/>
    <w:rsid w:val="002F6E6A"/>
    <w:rsid w:val="003012E4"/>
    <w:rsid w:val="00303AB4"/>
    <w:rsid w:val="003044AB"/>
    <w:rsid w:val="00305251"/>
    <w:rsid w:val="00305A28"/>
    <w:rsid w:val="00305EB0"/>
    <w:rsid w:val="0030615B"/>
    <w:rsid w:val="0030755B"/>
    <w:rsid w:val="0030793A"/>
    <w:rsid w:val="00307B4C"/>
    <w:rsid w:val="00307BBE"/>
    <w:rsid w:val="00311529"/>
    <w:rsid w:val="00311FC0"/>
    <w:rsid w:val="00313887"/>
    <w:rsid w:val="00316628"/>
    <w:rsid w:val="00316790"/>
    <w:rsid w:val="00317312"/>
    <w:rsid w:val="00320928"/>
    <w:rsid w:val="00320BA5"/>
    <w:rsid w:val="00321017"/>
    <w:rsid w:val="00322FC7"/>
    <w:rsid w:val="0032313D"/>
    <w:rsid w:val="003234EC"/>
    <w:rsid w:val="00324089"/>
    <w:rsid w:val="003242A8"/>
    <w:rsid w:val="003252A9"/>
    <w:rsid w:val="00326421"/>
    <w:rsid w:val="00327EFC"/>
    <w:rsid w:val="00330F62"/>
    <w:rsid w:val="00331B75"/>
    <w:rsid w:val="00331EA1"/>
    <w:rsid w:val="00331F26"/>
    <w:rsid w:val="00331FE3"/>
    <w:rsid w:val="00333E61"/>
    <w:rsid w:val="00334D62"/>
    <w:rsid w:val="003359D7"/>
    <w:rsid w:val="00336B41"/>
    <w:rsid w:val="00337EBF"/>
    <w:rsid w:val="0034045D"/>
    <w:rsid w:val="003404B7"/>
    <w:rsid w:val="003404C7"/>
    <w:rsid w:val="00341954"/>
    <w:rsid w:val="00342B37"/>
    <w:rsid w:val="00342DC4"/>
    <w:rsid w:val="003430F9"/>
    <w:rsid w:val="0034345A"/>
    <w:rsid w:val="003435FD"/>
    <w:rsid w:val="003446A2"/>
    <w:rsid w:val="00344F59"/>
    <w:rsid w:val="00345EFE"/>
    <w:rsid w:val="00346775"/>
    <w:rsid w:val="00347745"/>
    <w:rsid w:val="003478E6"/>
    <w:rsid w:val="00347B6F"/>
    <w:rsid w:val="00347EEA"/>
    <w:rsid w:val="00350A30"/>
    <w:rsid w:val="00350A85"/>
    <w:rsid w:val="00351429"/>
    <w:rsid w:val="0035213E"/>
    <w:rsid w:val="00353314"/>
    <w:rsid w:val="00353D7F"/>
    <w:rsid w:val="003548DA"/>
    <w:rsid w:val="00355411"/>
    <w:rsid w:val="0035607F"/>
    <w:rsid w:val="003564FF"/>
    <w:rsid w:val="003569B7"/>
    <w:rsid w:val="00356E41"/>
    <w:rsid w:val="00356F0E"/>
    <w:rsid w:val="00356F26"/>
    <w:rsid w:val="00357433"/>
    <w:rsid w:val="0036037B"/>
    <w:rsid w:val="003609F6"/>
    <w:rsid w:val="0036396F"/>
    <w:rsid w:val="00364291"/>
    <w:rsid w:val="00364C48"/>
    <w:rsid w:val="003653F6"/>
    <w:rsid w:val="003657FA"/>
    <w:rsid w:val="00367B1A"/>
    <w:rsid w:val="00367C93"/>
    <w:rsid w:val="003700EB"/>
    <w:rsid w:val="00370B0C"/>
    <w:rsid w:val="003728FB"/>
    <w:rsid w:val="00372AAA"/>
    <w:rsid w:val="00373178"/>
    <w:rsid w:val="00373630"/>
    <w:rsid w:val="003737AC"/>
    <w:rsid w:val="00373B91"/>
    <w:rsid w:val="0037526C"/>
    <w:rsid w:val="00376700"/>
    <w:rsid w:val="00376856"/>
    <w:rsid w:val="00376C91"/>
    <w:rsid w:val="00377379"/>
    <w:rsid w:val="003775E9"/>
    <w:rsid w:val="00377D2A"/>
    <w:rsid w:val="0038076F"/>
    <w:rsid w:val="00382FA5"/>
    <w:rsid w:val="00383654"/>
    <w:rsid w:val="00383B4D"/>
    <w:rsid w:val="0038449E"/>
    <w:rsid w:val="00385AFF"/>
    <w:rsid w:val="0038616B"/>
    <w:rsid w:val="003862D2"/>
    <w:rsid w:val="00386A13"/>
    <w:rsid w:val="003875B6"/>
    <w:rsid w:val="00387AA0"/>
    <w:rsid w:val="00391FAC"/>
    <w:rsid w:val="00392835"/>
    <w:rsid w:val="00392FAE"/>
    <w:rsid w:val="0039344B"/>
    <w:rsid w:val="00394C7B"/>
    <w:rsid w:val="003956EA"/>
    <w:rsid w:val="00395C03"/>
    <w:rsid w:val="00395FCD"/>
    <w:rsid w:val="003968A3"/>
    <w:rsid w:val="00397A06"/>
    <w:rsid w:val="003A047C"/>
    <w:rsid w:val="003A0A6B"/>
    <w:rsid w:val="003A0C47"/>
    <w:rsid w:val="003A10B7"/>
    <w:rsid w:val="003A1CC7"/>
    <w:rsid w:val="003A2EAD"/>
    <w:rsid w:val="003A32D8"/>
    <w:rsid w:val="003A34BA"/>
    <w:rsid w:val="003A384C"/>
    <w:rsid w:val="003A3AD9"/>
    <w:rsid w:val="003A4337"/>
    <w:rsid w:val="003A496E"/>
    <w:rsid w:val="003A507D"/>
    <w:rsid w:val="003A5F4C"/>
    <w:rsid w:val="003A6DD1"/>
    <w:rsid w:val="003B0C2E"/>
    <w:rsid w:val="003B116D"/>
    <w:rsid w:val="003B1CBE"/>
    <w:rsid w:val="003B24C7"/>
    <w:rsid w:val="003B3043"/>
    <w:rsid w:val="003B40F7"/>
    <w:rsid w:val="003B6B4C"/>
    <w:rsid w:val="003B6C0C"/>
    <w:rsid w:val="003C40DC"/>
    <w:rsid w:val="003C42FD"/>
    <w:rsid w:val="003C4903"/>
    <w:rsid w:val="003C50A3"/>
    <w:rsid w:val="003C5562"/>
    <w:rsid w:val="003C62D7"/>
    <w:rsid w:val="003C6E2C"/>
    <w:rsid w:val="003C729A"/>
    <w:rsid w:val="003C74C5"/>
    <w:rsid w:val="003C7B88"/>
    <w:rsid w:val="003D03FE"/>
    <w:rsid w:val="003D0873"/>
    <w:rsid w:val="003D0B04"/>
    <w:rsid w:val="003D0EBC"/>
    <w:rsid w:val="003D1055"/>
    <w:rsid w:val="003D194B"/>
    <w:rsid w:val="003D1BF7"/>
    <w:rsid w:val="003D29DF"/>
    <w:rsid w:val="003D30D2"/>
    <w:rsid w:val="003D55F2"/>
    <w:rsid w:val="003D5F9A"/>
    <w:rsid w:val="003D6AC1"/>
    <w:rsid w:val="003D788D"/>
    <w:rsid w:val="003E2473"/>
    <w:rsid w:val="003E2501"/>
    <w:rsid w:val="003E3506"/>
    <w:rsid w:val="003E47A7"/>
    <w:rsid w:val="003E515C"/>
    <w:rsid w:val="003E6204"/>
    <w:rsid w:val="003F1550"/>
    <w:rsid w:val="003F37F4"/>
    <w:rsid w:val="003F3B45"/>
    <w:rsid w:val="003F3C18"/>
    <w:rsid w:val="003F5401"/>
    <w:rsid w:val="003F680E"/>
    <w:rsid w:val="003F7466"/>
    <w:rsid w:val="0040118F"/>
    <w:rsid w:val="0040128D"/>
    <w:rsid w:val="0040242E"/>
    <w:rsid w:val="00402A12"/>
    <w:rsid w:val="00402E47"/>
    <w:rsid w:val="004038B0"/>
    <w:rsid w:val="00404AF4"/>
    <w:rsid w:val="00404D0F"/>
    <w:rsid w:val="00404EC3"/>
    <w:rsid w:val="004062E2"/>
    <w:rsid w:val="00407426"/>
    <w:rsid w:val="00411070"/>
    <w:rsid w:val="00411924"/>
    <w:rsid w:val="00413DA0"/>
    <w:rsid w:val="00414211"/>
    <w:rsid w:val="004142EF"/>
    <w:rsid w:val="004154DA"/>
    <w:rsid w:val="0041587E"/>
    <w:rsid w:val="00415C9A"/>
    <w:rsid w:val="00416B92"/>
    <w:rsid w:val="0041761F"/>
    <w:rsid w:val="0042065A"/>
    <w:rsid w:val="00420748"/>
    <w:rsid w:val="004209EE"/>
    <w:rsid w:val="0042129C"/>
    <w:rsid w:val="00421C83"/>
    <w:rsid w:val="00423B4F"/>
    <w:rsid w:val="00424785"/>
    <w:rsid w:val="00424EC7"/>
    <w:rsid w:val="0043015E"/>
    <w:rsid w:val="00430BC8"/>
    <w:rsid w:val="00431062"/>
    <w:rsid w:val="00431369"/>
    <w:rsid w:val="0043148A"/>
    <w:rsid w:val="00431760"/>
    <w:rsid w:val="0043273E"/>
    <w:rsid w:val="00432DB4"/>
    <w:rsid w:val="0043380B"/>
    <w:rsid w:val="0043507F"/>
    <w:rsid w:val="004375C9"/>
    <w:rsid w:val="004375CA"/>
    <w:rsid w:val="004378EF"/>
    <w:rsid w:val="00437D92"/>
    <w:rsid w:val="00440B20"/>
    <w:rsid w:val="004420A9"/>
    <w:rsid w:val="004428D4"/>
    <w:rsid w:val="00447B7F"/>
    <w:rsid w:val="00450487"/>
    <w:rsid w:val="00450514"/>
    <w:rsid w:val="004525F8"/>
    <w:rsid w:val="004526E0"/>
    <w:rsid w:val="00452938"/>
    <w:rsid w:val="00452F17"/>
    <w:rsid w:val="0045347E"/>
    <w:rsid w:val="004534F0"/>
    <w:rsid w:val="00454512"/>
    <w:rsid w:val="00457852"/>
    <w:rsid w:val="00457C76"/>
    <w:rsid w:val="0046045C"/>
    <w:rsid w:val="0046046B"/>
    <w:rsid w:val="00460F5D"/>
    <w:rsid w:val="00461270"/>
    <w:rsid w:val="00461676"/>
    <w:rsid w:val="004619F1"/>
    <w:rsid w:val="00461BFC"/>
    <w:rsid w:val="00461CC4"/>
    <w:rsid w:val="00462365"/>
    <w:rsid w:val="00463746"/>
    <w:rsid w:val="00463D1F"/>
    <w:rsid w:val="00465388"/>
    <w:rsid w:val="00465FA6"/>
    <w:rsid w:val="00466949"/>
    <w:rsid w:val="00470294"/>
    <w:rsid w:val="004728A6"/>
    <w:rsid w:val="004728D9"/>
    <w:rsid w:val="00473A52"/>
    <w:rsid w:val="00473C68"/>
    <w:rsid w:val="00477682"/>
    <w:rsid w:val="00477846"/>
    <w:rsid w:val="00477BE8"/>
    <w:rsid w:val="00477ECB"/>
    <w:rsid w:val="00480B4D"/>
    <w:rsid w:val="0048173C"/>
    <w:rsid w:val="00482EB0"/>
    <w:rsid w:val="00483CEF"/>
    <w:rsid w:val="004854A6"/>
    <w:rsid w:val="00485AB9"/>
    <w:rsid w:val="00486EF2"/>
    <w:rsid w:val="004878D2"/>
    <w:rsid w:val="00490F31"/>
    <w:rsid w:val="004910C7"/>
    <w:rsid w:val="00491196"/>
    <w:rsid w:val="00491616"/>
    <w:rsid w:val="00492A4A"/>
    <w:rsid w:val="00492CCE"/>
    <w:rsid w:val="00492EA6"/>
    <w:rsid w:val="0049562D"/>
    <w:rsid w:val="004A0BE5"/>
    <w:rsid w:val="004A0C78"/>
    <w:rsid w:val="004A0F90"/>
    <w:rsid w:val="004A2BB2"/>
    <w:rsid w:val="004A3CE6"/>
    <w:rsid w:val="004A5831"/>
    <w:rsid w:val="004A63D9"/>
    <w:rsid w:val="004A6646"/>
    <w:rsid w:val="004A66AB"/>
    <w:rsid w:val="004A71D9"/>
    <w:rsid w:val="004A776C"/>
    <w:rsid w:val="004B0EF1"/>
    <w:rsid w:val="004B0F6F"/>
    <w:rsid w:val="004B4272"/>
    <w:rsid w:val="004B4E4F"/>
    <w:rsid w:val="004B7A75"/>
    <w:rsid w:val="004C018B"/>
    <w:rsid w:val="004C1438"/>
    <w:rsid w:val="004C1B11"/>
    <w:rsid w:val="004C2AE4"/>
    <w:rsid w:val="004C3228"/>
    <w:rsid w:val="004C373A"/>
    <w:rsid w:val="004C3E9E"/>
    <w:rsid w:val="004C5FB2"/>
    <w:rsid w:val="004C70C6"/>
    <w:rsid w:val="004C7442"/>
    <w:rsid w:val="004C7A39"/>
    <w:rsid w:val="004C7BA6"/>
    <w:rsid w:val="004C7D1B"/>
    <w:rsid w:val="004D0528"/>
    <w:rsid w:val="004D169E"/>
    <w:rsid w:val="004D25C1"/>
    <w:rsid w:val="004D29EE"/>
    <w:rsid w:val="004D2CA4"/>
    <w:rsid w:val="004D3F4D"/>
    <w:rsid w:val="004D43AE"/>
    <w:rsid w:val="004D4A85"/>
    <w:rsid w:val="004D586C"/>
    <w:rsid w:val="004D646C"/>
    <w:rsid w:val="004D7907"/>
    <w:rsid w:val="004D7A1E"/>
    <w:rsid w:val="004D7F61"/>
    <w:rsid w:val="004E0195"/>
    <w:rsid w:val="004E0670"/>
    <w:rsid w:val="004E0B38"/>
    <w:rsid w:val="004E16E9"/>
    <w:rsid w:val="004E19F0"/>
    <w:rsid w:val="004E2B09"/>
    <w:rsid w:val="004E33FA"/>
    <w:rsid w:val="004E3A94"/>
    <w:rsid w:val="004E3EA8"/>
    <w:rsid w:val="004E460E"/>
    <w:rsid w:val="004E47DF"/>
    <w:rsid w:val="004E4B14"/>
    <w:rsid w:val="004E4FB0"/>
    <w:rsid w:val="004E5609"/>
    <w:rsid w:val="004E59D7"/>
    <w:rsid w:val="004E6FDF"/>
    <w:rsid w:val="004E7A70"/>
    <w:rsid w:val="004F076B"/>
    <w:rsid w:val="004F1DCB"/>
    <w:rsid w:val="004F3735"/>
    <w:rsid w:val="004F475A"/>
    <w:rsid w:val="004F6543"/>
    <w:rsid w:val="004F6C35"/>
    <w:rsid w:val="004F71AC"/>
    <w:rsid w:val="004F71D9"/>
    <w:rsid w:val="004F7DF1"/>
    <w:rsid w:val="0050101A"/>
    <w:rsid w:val="005013C6"/>
    <w:rsid w:val="00504E8F"/>
    <w:rsid w:val="00504F19"/>
    <w:rsid w:val="00505401"/>
    <w:rsid w:val="00505584"/>
    <w:rsid w:val="00506FC6"/>
    <w:rsid w:val="00507D45"/>
    <w:rsid w:val="005105A6"/>
    <w:rsid w:val="00510F22"/>
    <w:rsid w:val="00512182"/>
    <w:rsid w:val="00513A1D"/>
    <w:rsid w:val="00514266"/>
    <w:rsid w:val="00514779"/>
    <w:rsid w:val="00515149"/>
    <w:rsid w:val="00520576"/>
    <w:rsid w:val="0052264B"/>
    <w:rsid w:val="005228ED"/>
    <w:rsid w:val="00522CB8"/>
    <w:rsid w:val="00523611"/>
    <w:rsid w:val="005239E5"/>
    <w:rsid w:val="00523D52"/>
    <w:rsid w:val="005244F7"/>
    <w:rsid w:val="00525889"/>
    <w:rsid w:val="00525A60"/>
    <w:rsid w:val="0052623B"/>
    <w:rsid w:val="00530A50"/>
    <w:rsid w:val="00530D5B"/>
    <w:rsid w:val="00530F73"/>
    <w:rsid w:val="005329F2"/>
    <w:rsid w:val="00533CB6"/>
    <w:rsid w:val="00534D75"/>
    <w:rsid w:val="00535D02"/>
    <w:rsid w:val="005367C2"/>
    <w:rsid w:val="005368DC"/>
    <w:rsid w:val="0053703E"/>
    <w:rsid w:val="005372A8"/>
    <w:rsid w:val="00537B0A"/>
    <w:rsid w:val="005409F3"/>
    <w:rsid w:val="00540B95"/>
    <w:rsid w:val="005414DC"/>
    <w:rsid w:val="0054171B"/>
    <w:rsid w:val="00541781"/>
    <w:rsid w:val="00542721"/>
    <w:rsid w:val="005427F6"/>
    <w:rsid w:val="00542987"/>
    <w:rsid w:val="00542BE0"/>
    <w:rsid w:val="005433DE"/>
    <w:rsid w:val="0054389C"/>
    <w:rsid w:val="00545339"/>
    <w:rsid w:val="00545BD0"/>
    <w:rsid w:val="00545F73"/>
    <w:rsid w:val="00546368"/>
    <w:rsid w:val="00546F55"/>
    <w:rsid w:val="005476A5"/>
    <w:rsid w:val="00547DF8"/>
    <w:rsid w:val="00550ACF"/>
    <w:rsid w:val="00552295"/>
    <w:rsid w:val="005529F1"/>
    <w:rsid w:val="005533E7"/>
    <w:rsid w:val="00553432"/>
    <w:rsid w:val="00553468"/>
    <w:rsid w:val="00553922"/>
    <w:rsid w:val="00554A21"/>
    <w:rsid w:val="00555DBF"/>
    <w:rsid w:val="00555EEA"/>
    <w:rsid w:val="005566B5"/>
    <w:rsid w:val="00557E39"/>
    <w:rsid w:val="00560E46"/>
    <w:rsid w:val="00560EA2"/>
    <w:rsid w:val="00561352"/>
    <w:rsid w:val="005624BE"/>
    <w:rsid w:val="00564ED3"/>
    <w:rsid w:val="005655AF"/>
    <w:rsid w:val="005656A5"/>
    <w:rsid w:val="00567303"/>
    <w:rsid w:val="00570E80"/>
    <w:rsid w:val="0057194E"/>
    <w:rsid w:val="005721F6"/>
    <w:rsid w:val="005736B0"/>
    <w:rsid w:val="00573BC6"/>
    <w:rsid w:val="00574FCD"/>
    <w:rsid w:val="00576B8D"/>
    <w:rsid w:val="00576B9B"/>
    <w:rsid w:val="005779CA"/>
    <w:rsid w:val="00584B33"/>
    <w:rsid w:val="005863B3"/>
    <w:rsid w:val="005867D3"/>
    <w:rsid w:val="00586F74"/>
    <w:rsid w:val="00587F5C"/>
    <w:rsid w:val="00591019"/>
    <w:rsid w:val="0059142C"/>
    <w:rsid w:val="00591DDE"/>
    <w:rsid w:val="00591F72"/>
    <w:rsid w:val="005939A7"/>
    <w:rsid w:val="00594699"/>
    <w:rsid w:val="005957DE"/>
    <w:rsid w:val="0059638E"/>
    <w:rsid w:val="005A1BD9"/>
    <w:rsid w:val="005A3F5F"/>
    <w:rsid w:val="005A4D78"/>
    <w:rsid w:val="005A5645"/>
    <w:rsid w:val="005A67C8"/>
    <w:rsid w:val="005A7250"/>
    <w:rsid w:val="005A79BD"/>
    <w:rsid w:val="005A7BC9"/>
    <w:rsid w:val="005B0BBC"/>
    <w:rsid w:val="005B2A1C"/>
    <w:rsid w:val="005B43B8"/>
    <w:rsid w:val="005B4E3D"/>
    <w:rsid w:val="005B52CB"/>
    <w:rsid w:val="005B77BD"/>
    <w:rsid w:val="005C1548"/>
    <w:rsid w:val="005C2B74"/>
    <w:rsid w:val="005C3B0C"/>
    <w:rsid w:val="005C3E84"/>
    <w:rsid w:val="005C636F"/>
    <w:rsid w:val="005C665B"/>
    <w:rsid w:val="005C7F1B"/>
    <w:rsid w:val="005D05EB"/>
    <w:rsid w:val="005D0DBD"/>
    <w:rsid w:val="005D2B2B"/>
    <w:rsid w:val="005D527F"/>
    <w:rsid w:val="005D58D5"/>
    <w:rsid w:val="005D5C17"/>
    <w:rsid w:val="005D6DB5"/>
    <w:rsid w:val="005D74D7"/>
    <w:rsid w:val="005D7AD8"/>
    <w:rsid w:val="005D7CF2"/>
    <w:rsid w:val="005D7EA2"/>
    <w:rsid w:val="005E1039"/>
    <w:rsid w:val="005E16ED"/>
    <w:rsid w:val="005E1935"/>
    <w:rsid w:val="005E23A7"/>
    <w:rsid w:val="005E2AC5"/>
    <w:rsid w:val="005E3013"/>
    <w:rsid w:val="005E3E8A"/>
    <w:rsid w:val="005E6F2A"/>
    <w:rsid w:val="005E7D0E"/>
    <w:rsid w:val="005E7FCC"/>
    <w:rsid w:val="005F09C5"/>
    <w:rsid w:val="005F0CE8"/>
    <w:rsid w:val="005F1690"/>
    <w:rsid w:val="005F23FE"/>
    <w:rsid w:val="005F26AD"/>
    <w:rsid w:val="005F2823"/>
    <w:rsid w:val="005F410A"/>
    <w:rsid w:val="005F4213"/>
    <w:rsid w:val="005F475D"/>
    <w:rsid w:val="005F53B8"/>
    <w:rsid w:val="005F6BD2"/>
    <w:rsid w:val="005F6FF6"/>
    <w:rsid w:val="006008ED"/>
    <w:rsid w:val="00601C7D"/>
    <w:rsid w:val="006023D7"/>
    <w:rsid w:val="00603E50"/>
    <w:rsid w:val="00605325"/>
    <w:rsid w:val="006054B1"/>
    <w:rsid w:val="00606FF6"/>
    <w:rsid w:val="0060725A"/>
    <w:rsid w:val="006107F0"/>
    <w:rsid w:val="0061119E"/>
    <w:rsid w:val="00611769"/>
    <w:rsid w:val="006126BD"/>
    <w:rsid w:val="0061360D"/>
    <w:rsid w:val="0061401F"/>
    <w:rsid w:val="00614562"/>
    <w:rsid w:val="006147D5"/>
    <w:rsid w:val="00615FC7"/>
    <w:rsid w:val="00616936"/>
    <w:rsid w:val="00616A66"/>
    <w:rsid w:val="00616C10"/>
    <w:rsid w:val="00617117"/>
    <w:rsid w:val="0061717F"/>
    <w:rsid w:val="0061745F"/>
    <w:rsid w:val="00624011"/>
    <w:rsid w:val="006240F3"/>
    <w:rsid w:val="00624472"/>
    <w:rsid w:val="006253C7"/>
    <w:rsid w:val="006254D0"/>
    <w:rsid w:val="0062555B"/>
    <w:rsid w:val="006255E8"/>
    <w:rsid w:val="006262EB"/>
    <w:rsid w:val="006263D0"/>
    <w:rsid w:val="00626A5E"/>
    <w:rsid w:val="006301CA"/>
    <w:rsid w:val="006304D3"/>
    <w:rsid w:val="00630539"/>
    <w:rsid w:val="006318E3"/>
    <w:rsid w:val="00632BCC"/>
    <w:rsid w:val="00633230"/>
    <w:rsid w:val="00635D81"/>
    <w:rsid w:val="00637241"/>
    <w:rsid w:val="00640871"/>
    <w:rsid w:val="00640F78"/>
    <w:rsid w:val="006414C8"/>
    <w:rsid w:val="0064276D"/>
    <w:rsid w:val="00645295"/>
    <w:rsid w:val="00645D96"/>
    <w:rsid w:val="006474CD"/>
    <w:rsid w:val="0064753A"/>
    <w:rsid w:val="00647E6F"/>
    <w:rsid w:val="006500A6"/>
    <w:rsid w:val="00650832"/>
    <w:rsid w:val="00650AF4"/>
    <w:rsid w:val="006512BE"/>
    <w:rsid w:val="0065283C"/>
    <w:rsid w:val="00652F28"/>
    <w:rsid w:val="00654A5F"/>
    <w:rsid w:val="00655A67"/>
    <w:rsid w:val="00655BF4"/>
    <w:rsid w:val="006562F7"/>
    <w:rsid w:val="006566C0"/>
    <w:rsid w:val="006606AE"/>
    <w:rsid w:val="006628AC"/>
    <w:rsid w:val="00663256"/>
    <w:rsid w:val="006638E5"/>
    <w:rsid w:val="00663939"/>
    <w:rsid w:val="00664D0E"/>
    <w:rsid w:val="006650C0"/>
    <w:rsid w:val="00665915"/>
    <w:rsid w:val="00665C32"/>
    <w:rsid w:val="00665F07"/>
    <w:rsid w:val="0066607B"/>
    <w:rsid w:val="00666475"/>
    <w:rsid w:val="006668B9"/>
    <w:rsid w:val="0067081F"/>
    <w:rsid w:val="00670EA5"/>
    <w:rsid w:val="00672072"/>
    <w:rsid w:val="006724B6"/>
    <w:rsid w:val="00672A4B"/>
    <w:rsid w:val="00672AA4"/>
    <w:rsid w:val="006746F0"/>
    <w:rsid w:val="00674ACF"/>
    <w:rsid w:val="0067506D"/>
    <w:rsid w:val="0067591C"/>
    <w:rsid w:val="00677AF0"/>
    <w:rsid w:val="00677D63"/>
    <w:rsid w:val="00680FE8"/>
    <w:rsid w:val="006813FE"/>
    <w:rsid w:val="006818EE"/>
    <w:rsid w:val="00682272"/>
    <w:rsid w:val="00682308"/>
    <w:rsid w:val="00682979"/>
    <w:rsid w:val="00682AC6"/>
    <w:rsid w:val="00685105"/>
    <w:rsid w:val="00685B92"/>
    <w:rsid w:val="00685E71"/>
    <w:rsid w:val="006863BC"/>
    <w:rsid w:val="006874A8"/>
    <w:rsid w:val="0069133A"/>
    <w:rsid w:val="006918B2"/>
    <w:rsid w:val="00692E1C"/>
    <w:rsid w:val="006934EB"/>
    <w:rsid w:val="00694241"/>
    <w:rsid w:val="00694D9A"/>
    <w:rsid w:val="0069514A"/>
    <w:rsid w:val="006971F5"/>
    <w:rsid w:val="006A0449"/>
    <w:rsid w:val="006A1BCB"/>
    <w:rsid w:val="006A240B"/>
    <w:rsid w:val="006A28E9"/>
    <w:rsid w:val="006A293C"/>
    <w:rsid w:val="006A3A19"/>
    <w:rsid w:val="006A53D3"/>
    <w:rsid w:val="006A6701"/>
    <w:rsid w:val="006A7267"/>
    <w:rsid w:val="006A735E"/>
    <w:rsid w:val="006A7855"/>
    <w:rsid w:val="006B095B"/>
    <w:rsid w:val="006B1D45"/>
    <w:rsid w:val="006B440D"/>
    <w:rsid w:val="006B5427"/>
    <w:rsid w:val="006B5AC2"/>
    <w:rsid w:val="006B6A8E"/>
    <w:rsid w:val="006B6E62"/>
    <w:rsid w:val="006C2AA1"/>
    <w:rsid w:val="006C2BCB"/>
    <w:rsid w:val="006C3737"/>
    <w:rsid w:val="006C47B2"/>
    <w:rsid w:val="006C4A9E"/>
    <w:rsid w:val="006C56EB"/>
    <w:rsid w:val="006C7659"/>
    <w:rsid w:val="006D2681"/>
    <w:rsid w:val="006D472B"/>
    <w:rsid w:val="006D4B69"/>
    <w:rsid w:val="006D5AC5"/>
    <w:rsid w:val="006D5CAF"/>
    <w:rsid w:val="006D60E0"/>
    <w:rsid w:val="006D67D3"/>
    <w:rsid w:val="006D7087"/>
    <w:rsid w:val="006E03FF"/>
    <w:rsid w:val="006E0A60"/>
    <w:rsid w:val="006E2376"/>
    <w:rsid w:val="006E2FD4"/>
    <w:rsid w:val="006E35DE"/>
    <w:rsid w:val="006E4EAE"/>
    <w:rsid w:val="006E52DE"/>
    <w:rsid w:val="006E53CA"/>
    <w:rsid w:val="006E59F9"/>
    <w:rsid w:val="006E5C1E"/>
    <w:rsid w:val="006E6A56"/>
    <w:rsid w:val="006E7A03"/>
    <w:rsid w:val="006E7B8C"/>
    <w:rsid w:val="006F00CD"/>
    <w:rsid w:val="006F115C"/>
    <w:rsid w:val="006F185A"/>
    <w:rsid w:val="006F2B8F"/>
    <w:rsid w:val="006F4C9D"/>
    <w:rsid w:val="006F7C88"/>
    <w:rsid w:val="0070140D"/>
    <w:rsid w:val="007043CD"/>
    <w:rsid w:val="00704DB5"/>
    <w:rsid w:val="00705940"/>
    <w:rsid w:val="00706BD1"/>
    <w:rsid w:val="00707100"/>
    <w:rsid w:val="00707477"/>
    <w:rsid w:val="007075AD"/>
    <w:rsid w:val="007105EE"/>
    <w:rsid w:val="00710E4A"/>
    <w:rsid w:val="00710E81"/>
    <w:rsid w:val="00711B3D"/>
    <w:rsid w:val="00712010"/>
    <w:rsid w:val="007120D2"/>
    <w:rsid w:val="00713422"/>
    <w:rsid w:val="00714ECD"/>
    <w:rsid w:val="007150A3"/>
    <w:rsid w:val="0071520D"/>
    <w:rsid w:val="00715244"/>
    <w:rsid w:val="007153FD"/>
    <w:rsid w:val="0071553A"/>
    <w:rsid w:val="00717902"/>
    <w:rsid w:val="007214C3"/>
    <w:rsid w:val="00722CF5"/>
    <w:rsid w:val="00722E66"/>
    <w:rsid w:val="00724A96"/>
    <w:rsid w:val="0072709E"/>
    <w:rsid w:val="00727553"/>
    <w:rsid w:val="00730D22"/>
    <w:rsid w:val="00731F86"/>
    <w:rsid w:val="00732CAC"/>
    <w:rsid w:val="007337C4"/>
    <w:rsid w:val="007337DF"/>
    <w:rsid w:val="00733B8D"/>
    <w:rsid w:val="00733BDC"/>
    <w:rsid w:val="00733C43"/>
    <w:rsid w:val="0073469E"/>
    <w:rsid w:val="00734A6D"/>
    <w:rsid w:val="007355A4"/>
    <w:rsid w:val="00735A64"/>
    <w:rsid w:val="0073627C"/>
    <w:rsid w:val="00736790"/>
    <w:rsid w:val="00736F2C"/>
    <w:rsid w:val="0073752C"/>
    <w:rsid w:val="00737D00"/>
    <w:rsid w:val="007431D6"/>
    <w:rsid w:val="00744185"/>
    <w:rsid w:val="007441AA"/>
    <w:rsid w:val="00744FAB"/>
    <w:rsid w:val="007458C0"/>
    <w:rsid w:val="00745C0A"/>
    <w:rsid w:val="00745F4C"/>
    <w:rsid w:val="00746A5D"/>
    <w:rsid w:val="007476BA"/>
    <w:rsid w:val="00750213"/>
    <w:rsid w:val="007526B3"/>
    <w:rsid w:val="0075335C"/>
    <w:rsid w:val="00753FFA"/>
    <w:rsid w:val="00754B24"/>
    <w:rsid w:val="00755816"/>
    <w:rsid w:val="0076063D"/>
    <w:rsid w:val="00760C48"/>
    <w:rsid w:val="00762865"/>
    <w:rsid w:val="00762A9B"/>
    <w:rsid w:val="007645FF"/>
    <w:rsid w:val="00770D30"/>
    <w:rsid w:val="007711F7"/>
    <w:rsid w:val="00772F50"/>
    <w:rsid w:val="00773959"/>
    <w:rsid w:val="00773B23"/>
    <w:rsid w:val="00773D4B"/>
    <w:rsid w:val="00774D46"/>
    <w:rsid w:val="00774F76"/>
    <w:rsid w:val="007758F6"/>
    <w:rsid w:val="00775F10"/>
    <w:rsid w:val="007762D7"/>
    <w:rsid w:val="00776B83"/>
    <w:rsid w:val="00777560"/>
    <w:rsid w:val="007779B0"/>
    <w:rsid w:val="0078341A"/>
    <w:rsid w:val="00783FAB"/>
    <w:rsid w:val="007840B9"/>
    <w:rsid w:val="00787084"/>
    <w:rsid w:val="007877AB"/>
    <w:rsid w:val="00787BAF"/>
    <w:rsid w:val="00787D87"/>
    <w:rsid w:val="00787FEC"/>
    <w:rsid w:val="0079152C"/>
    <w:rsid w:val="007916B9"/>
    <w:rsid w:val="007925D7"/>
    <w:rsid w:val="007936DD"/>
    <w:rsid w:val="00793DFE"/>
    <w:rsid w:val="00793FD2"/>
    <w:rsid w:val="00794ECF"/>
    <w:rsid w:val="00794FBE"/>
    <w:rsid w:val="007972B6"/>
    <w:rsid w:val="00797577"/>
    <w:rsid w:val="007A02C6"/>
    <w:rsid w:val="007A11E3"/>
    <w:rsid w:val="007A24AE"/>
    <w:rsid w:val="007A2EE6"/>
    <w:rsid w:val="007A3199"/>
    <w:rsid w:val="007A3419"/>
    <w:rsid w:val="007A4DD7"/>
    <w:rsid w:val="007A5390"/>
    <w:rsid w:val="007A5BA3"/>
    <w:rsid w:val="007A6623"/>
    <w:rsid w:val="007B0443"/>
    <w:rsid w:val="007B17E6"/>
    <w:rsid w:val="007B43AE"/>
    <w:rsid w:val="007B44AC"/>
    <w:rsid w:val="007B4C10"/>
    <w:rsid w:val="007B4C55"/>
    <w:rsid w:val="007B5506"/>
    <w:rsid w:val="007B63BA"/>
    <w:rsid w:val="007B7173"/>
    <w:rsid w:val="007B7395"/>
    <w:rsid w:val="007C015C"/>
    <w:rsid w:val="007C10E2"/>
    <w:rsid w:val="007C12EC"/>
    <w:rsid w:val="007C152A"/>
    <w:rsid w:val="007C2CCB"/>
    <w:rsid w:val="007C3141"/>
    <w:rsid w:val="007C32F4"/>
    <w:rsid w:val="007C3924"/>
    <w:rsid w:val="007C4947"/>
    <w:rsid w:val="007C4E91"/>
    <w:rsid w:val="007C53D8"/>
    <w:rsid w:val="007C5520"/>
    <w:rsid w:val="007C57DF"/>
    <w:rsid w:val="007C5E53"/>
    <w:rsid w:val="007C7D23"/>
    <w:rsid w:val="007D0A04"/>
    <w:rsid w:val="007D0C92"/>
    <w:rsid w:val="007D19D1"/>
    <w:rsid w:val="007D1B40"/>
    <w:rsid w:val="007D2287"/>
    <w:rsid w:val="007D2B36"/>
    <w:rsid w:val="007D2FDF"/>
    <w:rsid w:val="007D3035"/>
    <w:rsid w:val="007D34C7"/>
    <w:rsid w:val="007D3B2B"/>
    <w:rsid w:val="007D5312"/>
    <w:rsid w:val="007D56B6"/>
    <w:rsid w:val="007D617D"/>
    <w:rsid w:val="007D6A54"/>
    <w:rsid w:val="007E04F1"/>
    <w:rsid w:val="007E160A"/>
    <w:rsid w:val="007E27C8"/>
    <w:rsid w:val="007E5236"/>
    <w:rsid w:val="007E582D"/>
    <w:rsid w:val="007E5EBF"/>
    <w:rsid w:val="007E6095"/>
    <w:rsid w:val="007E6AB5"/>
    <w:rsid w:val="007E7488"/>
    <w:rsid w:val="007F1E33"/>
    <w:rsid w:val="007F28F8"/>
    <w:rsid w:val="007F2C4A"/>
    <w:rsid w:val="007F3C27"/>
    <w:rsid w:val="007F3FC6"/>
    <w:rsid w:val="007F4BFF"/>
    <w:rsid w:val="007F66E4"/>
    <w:rsid w:val="007F7F28"/>
    <w:rsid w:val="00800492"/>
    <w:rsid w:val="0080149B"/>
    <w:rsid w:val="00802167"/>
    <w:rsid w:val="0080386E"/>
    <w:rsid w:val="0080401B"/>
    <w:rsid w:val="00805AD8"/>
    <w:rsid w:val="00805EDC"/>
    <w:rsid w:val="00805F33"/>
    <w:rsid w:val="0080685F"/>
    <w:rsid w:val="0080723A"/>
    <w:rsid w:val="0080797B"/>
    <w:rsid w:val="00810A24"/>
    <w:rsid w:val="00811132"/>
    <w:rsid w:val="008115AA"/>
    <w:rsid w:val="00812879"/>
    <w:rsid w:val="0081354D"/>
    <w:rsid w:val="008150B8"/>
    <w:rsid w:val="00815636"/>
    <w:rsid w:val="00815DFB"/>
    <w:rsid w:val="00815FF9"/>
    <w:rsid w:val="00817C56"/>
    <w:rsid w:val="00820C41"/>
    <w:rsid w:val="0082112C"/>
    <w:rsid w:val="0082293B"/>
    <w:rsid w:val="00824A3D"/>
    <w:rsid w:val="008257E6"/>
    <w:rsid w:val="00826ADD"/>
    <w:rsid w:val="00826ECD"/>
    <w:rsid w:val="00826EE7"/>
    <w:rsid w:val="00826EFE"/>
    <w:rsid w:val="00827044"/>
    <w:rsid w:val="0083168C"/>
    <w:rsid w:val="008335B7"/>
    <w:rsid w:val="00835CF7"/>
    <w:rsid w:val="00836088"/>
    <w:rsid w:val="008373E1"/>
    <w:rsid w:val="00841A64"/>
    <w:rsid w:val="008425B5"/>
    <w:rsid w:val="00843CF0"/>
    <w:rsid w:val="00844173"/>
    <w:rsid w:val="00845A4A"/>
    <w:rsid w:val="00845A4B"/>
    <w:rsid w:val="00845E41"/>
    <w:rsid w:val="00846F88"/>
    <w:rsid w:val="00847226"/>
    <w:rsid w:val="00850AE7"/>
    <w:rsid w:val="00850F7B"/>
    <w:rsid w:val="00851A30"/>
    <w:rsid w:val="00852A65"/>
    <w:rsid w:val="00852C2D"/>
    <w:rsid w:val="0085350A"/>
    <w:rsid w:val="00853DE1"/>
    <w:rsid w:val="008546AE"/>
    <w:rsid w:val="00854B3A"/>
    <w:rsid w:val="00855F4D"/>
    <w:rsid w:val="00855FD8"/>
    <w:rsid w:val="00856145"/>
    <w:rsid w:val="0086027B"/>
    <w:rsid w:val="00860E86"/>
    <w:rsid w:val="00861280"/>
    <w:rsid w:val="00862665"/>
    <w:rsid w:val="00863C19"/>
    <w:rsid w:val="00863DE0"/>
    <w:rsid w:val="008647EA"/>
    <w:rsid w:val="008652AB"/>
    <w:rsid w:val="00866B95"/>
    <w:rsid w:val="008674EB"/>
    <w:rsid w:val="00867BC6"/>
    <w:rsid w:val="00870C76"/>
    <w:rsid w:val="0087302E"/>
    <w:rsid w:val="008744AC"/>
    <w:rsid w:val="00875C13"/>
    <w:rsid w:val="00876323"/>
    <w:rsid w:val="008765F9"/>
    <w:rsid w:val="00881A2C"/>
    <w:rsid w:val="008823F5"/>
    <w:rsid w:val="00882B38"/>
    <w:rsid w:val="00882B7F"/>
    <w:rsid w:val="008838FD"/>
    <w:rsid w:val="00883E39"/>
    <w:rsid w:val="0088470D"/>
    <w:rsid w:val="008853B8"/>
    <w:rsid w:val="00885B03"/>
    <w:rsid w:val="008868C5"/>
    <w:rsid w:val="00886DF9"/>
    <w:rsid w:val="008875A5"/>
    <w:rsid w:val="00890824"/>
    <w:rsid w:val="00891DD3"/>
    <w:rsid w:val="00891ED8"/>
    <w:rsid w:val="008922BB"/>
    <w:rsid w:val="00892990"/>
    <w:rsid w:val="008937FD"/>
    <w:rsid w:val="008949B4"/>
    <w:rsid w:val="008950B5"/>
    <w:rsid w:val="00896255"/>
    <w:rsid w:val="00896F7C"/>
    <w:rsid w:val="008A0760"/>
    <w:rsid w:val="008A19DF"/>
    <w:rsid w:val="008A1C89"/>
    <w:rsid w:val="008A2731"/>
    <w:rsid w:val="008A2BBB"/>
    <w:rsid w:val="008A2F3C"/>
    <w:rsid w:val="008A3712"/>
    <w:rsid w:val="008A4B76"/>
    <w:rsid w:val="008A4D8B"/>
    <w:rsid w:val="008A5C53"/>
    <w:rsid w:val="008A62C2"/>
    <w:rsid w:val="008A68D4"/>
    <w:rsid w:val="008A6BE4"/>
    <w:rsid w:val="008A7521"/>
    <w:rsid w:val="008B0193"/>
    <w:rsid w:val="008B11B6"/>
    <w:rsid w:val="008B1C9C"/>
    <w:rsid w:val="008B2023"/>
    <w:rsid w:val="008B2E68"/>
    <w:rsid w:val="008B2E75"/>
    <w:rsid w:val="008B2FCF"/>
    <w:rsid w:val="008B32D8"/>
    <w:rsid w:val="008B47F8"/>
    <w:rsid w:val="008B490C"/>
    <w:rsid w:val="008B57AD"/>
    <w:rsid w:val="008B6B0B"/>
    <w:rsid w:val="008C0493"/>
    <w:rsid w:val="008C139E"/>
    <w:rsid w:val="008C28A4"/>
    <w:rsid w:val="008C3DE6"/>
    <w:rsid w:val="008C4725"/>
    <w:rsid w:val="008C4B92"/>
    <w:rsid w:val="008C5CFD"/>
    <w:rsid w:val="008C5F21"/>
    <w:rsid w:val="008C648C"/>
    <w:rsid w:val="008C67E7"/>
    <w:rsid w:val="008C7E65"/>
    <w:rsid w:val="008D08C4"/>
    <w:rsid w:val="008D1E72"/>
    <w:rsid w:val="008D2E34"/>
    <w:rsid w:val="008D3AAC"/>
    <w:rsid w:val="008D4A4E"/>
    <w:rsid w:val="008D55D6"/>
    <w:rsid w:val="008D6C1B"/>
    <w:rsid w:val="008D7F1D"/>
    <w:rsid w:val="008E1701"/>
    <w:rsid w:val="008E2563"/>
    <w:rsid w:val="008E2B5B"/>
    <w:rsid w:val="008E34AF"/>
    <w:rsid w:val="008E37DC"/>
    <w:rsid w:val="008E5272"/>
    <w:rsid w:val="008E7114"/>
    <w:rsid w:val="008E7AEA"/>
    <w:rsid w:val="008F09D2"/>
    <w:rsid w:val="008F1424"/>
    <w:rsid w:val="008F1763"/>
    <w:rsid w:val="008F29A1"/>
    <w:rsid w:val="008F4B1B"/>
    <w:rsid w:val="008F7971"/>
    <w:rsid w:val="00900A10"/>
    <w:rsid w:val="0090132A"/>
    <w:rsid w:val="009024B8"/>
    <w:rsid w:val="00903B95"/>
    <w:rsid w:val="00904340"/>
    <w:rsid w:val="00905D04"/>
    <w:rsid w:val="00905DF7"/>
    <w:rsid w:val="00906024"/>
    <w:rsid w:val="00910030"/>
    <w:rsid w:val="00912458"/>
    <w:rsid w:val="0091275E"/>
    <w:rsid w:val="0091443E"/>
    <w:rsid w:val="00914CCF"/>
    <w:rsid w:val="009163BF"/>
    <w:rsid w:val="00916815"/>
    <w:rsid w:val="009172F9"/>
    <w:rsid w:val="00917437"/>
    <w:rsid w:val="0092122D"/>
    <w:rsid w:val="00921333"/>
    <w:rsid w:val="00922626"/>
    <w:rsid w:val="009231C8"/>
    <w:rsid w:val="0092410D"/>
    <w:rsid w:val="0092419E"/>
    <w:rsid w:val="00924628"/>
    <w:rsid w:val="00924F55"/>
    <w:rsid w:val="00925EE7"/>
    <w:rsid w:val="009263F3"/>
    <w:rsid w:val="009273EE"/>
    <w:rsid w:val="00927FB7"/>
    <w:rsid w:val="009307EA"/>
    <w:rsid w:val="0093252D"/>
    <w:rsid w:val="00932771"/>
    <w:rsid w:val="009338D4"/>
    <w:rsid w:val="00935B09"/>
    <w:rsid w:val="00935B67"/>
    <w:rsid w:val="009368D9"/>
    <w:rsid w:val="00936F00"/>
    <w:rsid w:val="0093712A"/>
    <w:rsid w:val="0093771A"/>
    <w:rsid w:val="00937C9A"/>
    <w:rsid w:val="00937D6E"/>
    <w:rsid w:val="00941E10"/>
    <w:rsid w:val="0094298C"/>
    <w:rsid w:val="00942FA1"/>
    <w:rsid w:val="00943744"/>
    <w:rsid w:val="00943CD2"/>
    <w:rsid w:val="00945862"/>
    <w:rsid w:val="0094745D"/>
    <w:rsid w:val="009476F8"/>
    <w:rsid w:val="009478D3"/>
    <w:rsid w:val="0095005F"/>
    <w:rsid w:val="0095315D"/>
    <w:rsid w:val="00953CA7"/>
    <w:rsid w:val="0095416C"/>
    <w:rsid w:val="00960E1C"/>
    <w:rsid w:val="00961F9C"/>
    <w:rsid w:val="009650A1"/>
    <w:rsid w:val="00966076"/>
    <w:rsid w:val="00966972"/>
    <w:rsid w:val="009670D1"/>
    <w:rsid w:val="00967B86"/>
    <w:rsid w:val="00970448"/>
    <w:rsid w:val="0097078B"/>
    <w:rsid w:val="00972983"/>
    <w:rsid w:val="009734B8"/>
    <w:rsid w:val="00975F8B"/>
    <w:rsid w:val="00977B9F"/>
    <w:rsid w:val="009815E4"/>
    <w:rsid w:val="00981CB3"/>
    <w:rsid w:val="009834A1"/>
    <w:rsid w:val="0098417C"/>
    <w:rsid w:val="00984C5B"/>
    <w:rsid w:val="00984DCA"/>
    <w:rsid w:val="009850DC"/>
    <w:rsid w:val="00985DBD"/>
    <w:rsid w:val="0098632A"/>
    <w:rsid w:val="009875CA"/>
    <w:rsid w:val="00987F44"/>
    <w:rsid w:val="009937B0"/>
    <w:rsid w:val="00994237"/>
    <w:rsid w:val="00994826"/>
    <w:rsid w:val="009953E8"/>
    <w:rsid w:val="009957FB"/>
    <w:rsid w:val="00996D6F"/>
    <w:rsid w:val="00996E84"/>
    <w:rsid w:val="009971B7"/>
    <w:rsid w:val="0099726E"/>
    <w:rsid w:val="00997656"/>
    <w:rsid w:val="009A0959"/>
    <w:rsid w:val="009A1E69"/>
    <w:rsid w:val="009A1F18"/>
    <w:rsid w:val="009A258D"/>
    <w:rsid w:val="009A2D72"/>
    <w:rsid w:val="009A39E7"/>
    <w:rsid w:val="009A78BE"/>
    <w:rsid w:val="009B06EA"/>
    <w:rsid w:val="009B08D6"/>
    <w:rsid w:val="009B11A5"/>
    <w:rsid w:val="009B1EEE"/>
    <w:rsid w:val="009B1FEC"/>
    <w:rsid w:val="009B210A"/>
    <w:rsid w:val="009B2D72"/>
    <w:rsid w:val="009B3828"/>
    <w:rsid w:val="009B47D1"/>
    <w:rsid w:val="009B4D50"/>
    <w:rsid w:val="009B52B0"/>
    <w:rsid w:val="009B61D2"/>
    <w:rsid w:val="009B7805"/>
    <w:rsid w:val="009B7877"/>
    <w:rsid w:val="009C037A"/>
    <w:rsid w:val="009C0687"/>
    <w:rsid w:val="009C19E6"/>
    <w:rsid w:val="009C2777"/>
    <w:rsid w:val="009C3C12"/>
    <w:rsid w:val="009C41C3"/>
    <w:rsid w:val="009C49F5"/>
    <w:rsid w:val="009C5DDD"/>
    <w:rsid w:val="009C63ED"/>
    <w:rsid w:val="009C6670"/>
    <w:rsid w:val="009C6813"/>
    <w:rsid w:val="009C6DCA"/>
    <w:rsid w:val="009C7C95"/>
    <w:rsid w:val="009D08D7"/>
    <w:rsid w:val="009D0B41"/>
    <w:rsid w:val="009D1F4C"/>
    <w:rsid w:val="009D23E6"/>
    <w:rsid w:val="009D4223"/>
    <w:rsid w:val="009D5508"/>
    <w:rsid w:val="009D55A1"/>
    <w:rsid w:val="009D654A"/>
    <w:rsid w:val="009D661F"/>
    <w:rsid w:val="009D67E7"/>
    <w:rsid w:val="009D71A0"/>
    <w:rsid w:val="009E04BD"/>
    <w:rsid w:val="009E07F6"/>
    <w:rsid w:val="009E0B1C"/>
    <w:rsid w:val="009E10CB"/>
    <w:rsid w:val="009E1149"/>
    <w:rsid w:val="009E1238"/>
    <w:rsid w:val="009E2BDF"/>
    <w:rsid w:val="009E367F"/>
    <w:rsid w:val="009E3D44"/>
    <w:rsid w:val="009E3DC5"/>
    <w:rsid w:val="009E620A"/>
    <w:rsid w:val="009E6C82"/>
    <w:rsid w:val="009E7EEA"/>
    <w:rsid w:val="009F017A"/>
    <w:rsid w:val="009F2FFB"/>
    <w:rsid w:val="009F3673"/>
    <w:rsid w:val="009F425D"/>
    <w:rsid w:val="009F4352"/>
    <w:rsid w:val="009F5388"/>
    <w:rsid w:val="009F5792"/>
    <w:rsid w:val="009F7799"/>
    <w:rsid w:val="00A003CD"/>
    <w:rsid w:val="00A00463"/>
    <w:rsid w:val="00A00989"/>
    <w:rsid w:val="00A00E6D"/>
    <w:rsid w:val="00A02422"/>
    <w:rsid w:val="00A02BF3"/>
    <w:rsid w:val="00A02D22"/>
    <w:rsid w:val="00A05DB5"/>
    <w:rsid w:val="00A07076"/>
    <w:rsid w:val="00A07CC5"/>
    <w:rsid w:val="00A10710"/>
    <w:rsid w:val="00A1082F"/>
    <w:rsid w:val="00A108A0"/>
    <w:rsid w:val="00A11613"/>
    <w:rsid w:val="00A123F6"/>
    <w:rsid w:val="00A1340F"/>
    <w:rsid w:val="00A135FA"/>
    <w:rsid w:val="00A136BC"/>
    <w:rsid w:val="00A1387C"/>
    <w:rsid w:val="00A1517B"/>
    <w:rsid w:val="00A152A0"/>
    <w:rsid w:val="00A15F30"/>
    <w:rsid w:val="00A2018E"/>
    <w:rsid w:val="00A20650"/>
    <w:rsid w:val="00A20F10"/>
    <w:rsid w:val="00A215F5"/>
    <w:rsid w:val="00A21760"/>
    <w:rsid w:val="00A22A64"/>
    <w:rsid w:val="00A24DF2"/>
    <w:rsid w:val="00A27055"/>
    <w:rsid w:val="00A271F3"/>
    <w:rsid w:val="00A27393"/>
    <w:rsid w:val="00A2772D"/>
    <w:rsid w:val="00A278E1"/>
    <w:rsid w:val="00A302B7"/>
    <w:rsid w:val="00A3288B"/>
    <w:rsid w:val="00A36C3B"/>
    <w:rsid w:val="00A37F6B"/>
    <w:rsid w:val="00A41C67"/>
    <w:rsid w:val="00A448C4"/>
    <w:rsid w:val="00A44C6A"/>
    <w:rsid w:val="00A451E2"/>
    <w:rsid w:val="00A459DE"/>
    <w:rsid w:val="00A46BDD"/>
    <w:rsid w:val="00A46C02"/>
    <w:rsid w:val="00A479BC"/>
    <w:rsid w:val="00A50331"/>
    <w:rsid w:val="00A52FBB"/>
    <w:rsid w:val="00A54FC9"/>
    <w:rsid w:val="00A55423"/>
    <w:rsid w:val="00A568F3"/>
    <w:rsid w:val="00A57003"/>
    <w:rsid w:val="00A621AC"/>
    <w:rsid w:val="00A63EB2"/>
    <w:rsid w:val="00A6417F"/>
    <w:rsid w:val="00A64274"/>
    <w:rsid w:val="00A6583D"/>
    <w:rsid w:val="00A66DFA"/>
    <w:rsid w:val="00A67597"/>
    <w:rsid w:val="00A70BD1"/>
    <w:rsid w:val="00A70DF1"/>
    <w:rsid w:val="00A71399"/>
    <w:rsid w:val="00A71755"/>
    <w:rsid w:val="00A725F3"/>
    <w:rsid w:val="00A7308E"/>
    <w:rsid w:val="00A7341E"/>
    <w:rsid w:val="00A736BA"/>
    <w:rsid w:val="00A74218"/>
    <w:rsid w:val="00A74379"/>
    <w:rsid w:val="00A7442B"/>
    <w:rsid w:val="00A74DB7"/>
    <w:rsid w:val="00A75D66"/>
    <w:rsid w:val="00A775C2"/>
    <w:rsid w:val="00A77AF2"/>
    <w:rsid w:val="00A77B9D"/>
    <w:rsid w:val="00A80C3B"/>
    <w:rsid w:val="00A81793"/>
    <w:rsid w:val="00A82340"/>
    <w:rsid w:val="00A82E64"/>
    <w:rsid w:val="00A85565"/>
    <w:rsid w:val="00A85593"/>
    <w:rsid w:val="00A862C9"/>
    <w:rsid w:val="00A865F9"/>
    <w:rsid w:val="00A90240"/>
    <w:rsid w:val="00A90387"/>
    <w:rsid w:val="00A90810"/>
    <w:rsid w:val="00A90E0C"/>
    <w:rsid w:val="00A9184A"/>
    <w:rsid w:val="00A91C5A"/>
    <w:rsid w:val="00A9200A"/>
    <w:rsid w:val="00A9213C"/>
    <w:rsid w:val="00A92513"/>
    <w:rsid w:val="00A92681"/>
    <w:rsid w:val="00A9366D"/>
    <w:rsid w:val="00A95192"/>
    <w:rsid w:val="00A952EF"/>
    <w:rsid w:val="00A9575D"/>
    <w:rsid w:val="00A95EA7"/>
    <w:rsid w:val="00A961E7"/>
    <w:rsid w:val="00A96A27"/>
    <w:rsid w:val="00A97644"/>
    <w:rsid w:val="00AA1C5D"/>
    <w:rsid w:val="00AA2BF4"/>
    <w:rsid w:val="00AA4B9F"/>
    <w:rsid w:val="00AA5857"/>
    <w:rsid w:val="00AA6EA3"/>
    <w:rsid w:val="00AA76B7"/>
    <w:rsid w:val="00AA779C"/>
    <w:rsid w:val="00AA7D5B"/>
    <w:rsid w:val="00AB08DC"/>
    <w:rsid w:val="00AB1341"/>
    <w:rsid w:val="00AB1753"/>
    <w:rsid w:val="00AB1D41"/>
    <w:rsid w:val="00AB2420"/>
    <w:rsid w:val="00AB28A8"/>
    <w:rsid w:val="00AB31E9"/>
    <w:rsid w:val="00AB343B"/>
    <w:rsid w:val="00AB6A31"/>
    <w:rsid w:val="00AB6C6D"/>
    <w:rsid w:val="00AB6CED"/>
    <w:rsid w:val="00AB73F2"/>
    <w:rsid w:val="00AC01F0"/>
    <w:rsid w:val="00AC03E5"/>
    <w:rsid w:val="00AC093D"/>
    <w:rsid w:val="00AC0EF5"/>
    <w:rsid w:val="00AC13D5"/>
    <w:rsid w:val="00AC154B"/>
    <w:rsid w:val="00AC6061"/>
    <w:rsid w:val="00AC6C65"/>
    <w:rsid w:val="00AC6FA2"/>
    <w:rsid w:val="00AC7A78"/>
    <w:rsid w:val="00AC7B48"/>
    <w:rsid w:val="00AD0B57"/>
    <w:rsid w:val="00AD2CEF"/>
    <w:rsid w:val="00AD4373"/>
    <w:rsid w:val="00AD45DF"/>
    <w:rsid w:val="00AD5530"/>
    <w:rsid w:val="00AD595D"/>
    <w:rsid w:val="00AD661C"/>
    <w:rsid w:val="00AD671B"/>
    <w:rsid w:val="00AD701E"/>
    <w:rsid w:val="00AE02D4"/>
    <w:rsid w:val="00AE0BB2"/>
    <w:rsid w:val="00AE0D2F"/>
    <w:rsid w:val="00AE10DD"/>
    <w:rsid w:val="00AE1486"/>
    <w:rsid w:val="00AE174E"/>
    <w:rsid w:val="00AE1E3B"/>
    <w:rsid w:val="00AE2CF3"/>
    <w:rsid w:val="00AE37E4"/>
    <w:rsid w:val="00AE5115"/>
    <w:rsid w:val="00AE5E21"/>
    <w:rsid w:val="00AE6C67"/>
    <w:rsid w:val="00AE71DE"/>
    <w:rsid w:val="00AE77BE"/>
    <w:rsid w:val="00AF07A9"/>
    <w:rsid w:val="00AF1592"/>
    <w:rsid w:val="00AF19FB"/>
    <w:rsid w:val="00AF27CE"/>
    <w:rsid w:val="00AF2D10"/>
    <w:rsid w:val="00AF2F47"/>
    <w:rsid w:val="00AF49DA"/>
    <w:rsid w:val="00AF5248"/>
    <w:rsid w:val="00AF57C8"/>
    <w:rsid w:val="00AF5C22"/>
    <w:rsid w:val="00AF69B0"/>
    <w:rsid w:val="00B01C97"/>
    <w:rsid w:val="00B02581"/>
    <w:rsid w:val="00B02D7F"/>
    <w:rsid w:val="00B02FEC"/>
    <w:rsid w:val="00B0379B"/>
    <w:rsid w:val="00B0391B"/>
    <w:rsid w:val="00B049C9"/>
    <w:rsid w:val="00B049E0"/>
    <w:rsid w:val="00B05588"/>
    <w:rsid w:val="00B0652F"/>
    <w:rsid w:val="00B067D1"/>
    <w:rsid w:val="00B10512"/>
    <w:rsid w:val="00B10C39"/>
    <w:rsid w:val="00B10E66"/>
    <w:rsid w:val="00B1287E"/>
    <w:rsid w:val="00B131AC"/>
    <w:rsid w:val="00B14710"/>
    <w:rsid w:val="00B15AF4"/>
    <w:rsid w:val="00B20103"/>
    <w:rsid w:val="00B20D67"/>
    <w:rsid w:val="00B20E7E"/>
    <w:rsid w:val="00B23363"/>
    <w:rsid w:val="00B236EF"/>
    <w:rsid w:val="00B237AA"/>
    <w:rsid w:val="00B241CE"/>
    <w:rsid w:val="00B241CF"/>
    <w:rsid w:val="00B2438E"/>
    <w:rsid w:val="00B265DC"/>
    <w:rsid w:val="00B26D58"/>
    <w:rsid w:val="00B302AB"/>
    <w:rsid w:val="00B30ED4"/>
    <w:rsid w:val="00B331C8"/>
    <w:rsid w:val="00B33772"/>
    <w:rsid w:val="00B34721"/>
    <w:rsid w:val="00B3616C"/>
    <w:rsid w:val="00B363A7"/>
    <w:rsid w:val="00B37BD2"/>
    <w:rsid w:val="00B410D3"/>
    <w:rsid w:val="00B430C2"/>
    <w:rsid w:val="00B438B7"/>
    <w:rsid w:val="00B43E18"/>
    <w:rsid w:val="00B440C5"/>
    <w:rsid w:val="00B4449A"/>
    <w:rsid w:val="00B448CB"/>
    <w:rsid w:val="00B458B9"/>
    <w:rsid w:val="00B45FEB"/>
    <w:rsid w:val="00B4672E"/>
    <w:rsid w:val="00B47665"/>
    <w:rsid w:val="00B4773D"/>
    <w:rsid w:val="00B513BB"/>
    <w:rsid w:val="00B51788"/>
    <w:rsid w:val="00B51956"/>
    <w:rsid w:val="00B51B8C"/>
    <w:rsid w:val="00B52A13"/>
    <w:rsid w:val="00B53575"/>
    <w:rsid w:val="00B53B69"/>
    <w:rsid w:val="00B53BCF"/>
    <w:rsid w:val="00B53E31"/>
    <w:rsid w:val="00B54F7C"/>
    <w:rsid w:val="00B55685"/>
    <w:rsid w:val="00B56F4F"/>
    <w:rsid w:val="00B57093"/>
    <w:rsid w:val="00B572EC"/>
    <w:rsid w:val="00B574EB"/>
    <w:rsid w:val="00B61BE1"/>
    <w:rsid w:val="00B61EC5"/>
    <w:rsid w:val="00B6322B"/>
    <w:rsid w:val="00B635CE"/>
    <w:rsid w:val="00B660D1"/>
    <w:rsid w:val="00B66AD0"/>
    <w:rsid w:val="00B674F1"/>
    <w:rsid w:val="00B679A9"/>
    <w:rsid w:val="00B71460"/>
    <w:rsid w:val="00B71603"/>
    <w:rsid w:val="00B7193C"/>
    <w:rsid w:val="00B7313B"/>
    <w:rsid w:val="00B731EA"/>
    <w:rsid w:val="00B73F2E"/>
    <w:rsid w:val="00B7404E"/>
    <w:rsid w:val="00B77829"/>
    <w:rsid w:val="00B80438"/>
    <w:rsid w:val="00B815EF"/>
    <w:rsid w:val="00B8220D"/>
    <w:rsid w:val="00B82553"/>
    <w:rsid w:val="00B838BC"/>
    <w:rsid w:val="00B84873"/>
    <w:rsid w:val="00B856D8"/>
    <w:rsid w:val="00B8595A"/>
    <w:rsid w:val="00B85FE9"/>
    <w:rsid w:val="00B860FA"/>
    <w:rsid w:val="00B8626F"/>
    <w:rsid w:val="00B86397"/>
    <w:rsid w:val="00B86723"/>
    <w:rsid w:val="00B86E69"/>
    <w:rsid w:val="00B9014C"/>
    <w:rsid w:val="00B92518"/>
    <w:rsid w:val="00B92D2C"/>
    <w:rsid w:val="00B92DC9"/>
    <w:rsid w:val="00B92EB7"/>
    <w:rsid w:val="00B931BF"/>
    <w:rsid w:val="00B93A8A"/>
    <w:rsid w:val="00B9597D"/>
    <w:rsid w:val="00B96FA9"/>
    <w:rsid w:val="00B97464"/>
    <w:rsid w:val="00B97772"/>
    <w:rsid w:val="00B97B55"/>
    <w:rsid w:val="00BA0CF2"/>
    <w:rsid w:val="00BA1D5F"/>
    <w:rsid w:val="00BA2124"/>
    <w:rsid w:val="00BA24F5"/>
    <w:rsid w:val="00BA2DAF"/>
    <w:rsid w:val="00BA3577"/>
    <w:rsid w:val="00BA373A"/>
    <w:rsid w:val="00BA3992"/>
    <w:rsid w:val="00BA3FB3"/>
    <w:rsid w:val="00BA4182"/>
    <w:rsid w:val="00BA5027"/>
    <w:rsid w:val="00BA540A"/>
    <w:rsid w:val="00BA7C58"/>
    <w:rsid w:val="00BB025C"/>
    <w:rsid w:val="00BB0E7F"/>
    <w:rsid w:val="00BB0E88"/>
    <w:rsid w:val="00BB1585"/>
    <w:rsid w:val="00BB19F9"/>
    <w:rsid w:val="00BB2320"/>
    <w:rsid w:val="00BB2BAD"/>
    <w:rsid w:val="00BB46BF"/>
    <w:rsid w:val="00BB4F73"/>
    <w:rsid w:val="00BB5101"/>
    <w:rsid w:val="00BB512C"/>
    <w:rsid w:val="00BB519E"/>
    <w:rsid w:val="00BB6479"/>
    <w:rsid w:val="00BB6767"/>
    <w:rsid w:val="00BC08CC"/>
    <w:rsid w:val="00BC1181"/>
    <w:rsid w:val="00BC41B6"/>
    <w:rsid w:val="00BD05C1"/>
    <w:rsid w:val="00BD0CB2"/>
    <w:rsid w:val="00BD1061"/>
    <w:rsid w:val="00BD17B2"/>
    <w:rsid w:val="00BD1E80"/>
    <w:rsid w:val="00BD211A"/>
    <w:rsid w:val="00BD3DDE"/>
    <w:rsid w:val="00BD40F6"/>
    <w:rsid w:val="00BD5EE0"/>
    <w:rsid w:val="00BD7E6E"/>
    <w:rsid w:val="00BE0AFB"/>
    <w:rsid w:val="00BE0C2D"/>
    <w:rsid w:val="00BE0ED1"/>
    <w:rsid w:val="00BE3891"/>
    <w:rsid w:val="00BE3EBB"/>
    <w:rsid w:val="00BE4AB2"/>
    <w:rsid w:val="00BE4B0A"/>
    <w:rsid w:val="00BE4C97"/>
    <w:rsid w:val="00BE6DC1"/>
    <w:rsid w:val="00BE6F1F"/>
    <w:rsid w:val="00BE7B0C"/>
    <w:rsid w:val="00BE7CE9"/>
    <w:rsid w:val="00BF02C7"/>
    <w:rsid w:val="00BF2287"/>
    <w:rsid w:val="00BF3438"/>
    <w:rsid w:val="00BF51B7"/>
    <w:rsid w:val="00BF5250"/>
    <w:rsid w:val="00BF541C"/>
    <w:rsid w:val="00BF5799"/>
    <w:rsid w:val="00BF7D4E"/>
    <w:rsid w:val="00C01A97"/>
    <w:rsid w:val="00C03110"/>
    <w:rsid w:val="00C049AB"/>
    <w:rsid w:val="00C0502D"/>
    <w:rsid w:val="00C05749"/>
    <w:rsid w:val="00C06ACE"/>
    <w:rsid w:val="00C070E6"/>
    <w:rsid w:val="00C07A72"/>
    <w:rsid w:val="00C1023A"/>
    <w:rsid w:val="00C12E9A"/>
    <w:rsid w:val="00C145CB"/>
    <w:rsid w:val="00C14BC0"/>
    <w:rsid w:val="00C16930"/>
    <w:rsid w:val="00C2090E"/>
    <w:rsid w:val="00C20B14"/>
    <w:rsid w:val="00C214D0"/>
    <w:rsid w:val="00C21639"/>
    <w:rsid w:val="00C2208C"/>
    <w:rsid w:val="00C22E59"/>
    <w:rsid w:val="00C23263"/>
    <w:rsid w:val="00C2684C"/>
    <w:rsid w:val="00C30349"/>
    <w:rsid w:val="00C304BD"/>
    <w:rsid w:val="00C31225"/>
    <w:rsid w:val="00C31B2B"/>
    <w:rsid w:val="00C31D0B"/>
    <w:rsid w:val="00C3204A"/>
    <w:rsid w:val="00C33F91"/>
    <w:rsid w:val="00C340A6"/>
    <w:rsid w:val="00C34E0F"/>
    <w:rsid w:val="00C3529B"/>
    <w:rsid w:val="00C357A3"/>
    <w:rsid w:val="00C364C8"/>
    <w:rsid w:val="00C36AB3"/>
    <w:rsid w:val="00C402D6"/>
    <w:rsid w:val="00C40700"/>
    <w:rsid w:val="00C42311"/>
    <w:rsid w:val="00C4294F"/>
    <w:rsid w:val="00C43CA3"/>
    <w:rsid w:val="00C45280"/>
    <w:rsid w:val="00C46BE8"/>
    <w:rsid w:val="00C46CF0"/>
    <w:rsid w:val="00C46DA9"/>
    <w:rsid w:val="00C47825"/>
    <w:rsid w:val="00C47AA9"/>
    <w:rsid w:val="00C47BE9"/>
    <w:rsid w:val="00C51283"/>
    <w:rsid w:val="00C51D5C"/>
    <w:rsid w:val="00C51DE3"/>
    <w:rsid w:val="00C533BD"/>
    <w:rsid w:val="00C536DB"/>
    <w:rsid w:val="00C53769"/>
    <w:rsid w:val="00C53DD8"/>
    <w:rsid w:val="00C543DC"/>
    <w:rsid w:val="00C5550F"/>
    <w:rsid w:val="00C56056"/>
    <w:rsid w:val="00C560A0"/>
    <w:rsid w:val="00C56354"/>
    <w:rsid w:val="00C56397"/>
    <w:rsid w:val="00C56965"/>
    <w:rsid w:val="00C56EF8"/>
    <w:rsid w:val="00C5795E"/>
    <w:rsid w:val="00C57970"/>
    <w:rsid w:val="00C60AA0"/>
    <w:rsid w:val="00C61AD5"/>
    <w:rsid w:val="00C63558"/>
    <w:rsid w:val="00C636F6"/>
    <w:rsid w:val="00C63FA3"/>
    <w:rsid w:val="00C6509C"/>
    <w:rsid w:val="00C65129"/>
    <w:rsid w:val="00C65B5A"/>
    <w:rsid w:val="00C667DB"/>
    <w:rsid w:val="00C66F06"/>
    <w:rsid w:val="00C672D6"/>
    <w:rsid w:val="00C67502"/>
    <w:rsid w:val="00C676C1"/>
    <w:rsid w:val="00C67813"/>
    <w:rsid w:val="00C67BF1"/>
    <w:rsid w:val="00C709FE"/>
    <w:rsid w:val="00C71CB0"/>
    <w:rsid w:val="00C72B2D"/>
    <w:rsid w:val="00C748BC"/>
    <w:rsid w:val="00C749B0"/>
    <w:rsid w:val="00C752CA"/>
    <w:rsid w:val="00C75531"/>
    <w:rsid w:val="00C75642"/>
    <w:rsid w:val="00C7702A"/>
    <w:rsid w:val="00C77855"/>
    <w:rsid w:val="00C77A4A"/>
    <w:rsid w:val="00C815C9"/>
    <w:rsid w:val="00C81E3E"/>
    <w:rsid w:val="00C81FFD"/>
    <w:rsid w:val="00C82094"/>
    <w:rsid w:val="00C824FF"/>
    <w:rsid w:val="00C83080"/>
    <w:rsid w:val="00C85F66"/>
    <w:rsid w:val="00C903BC"/>
    <w:rsid w:val="00C94659"/>
    <w:rsid w:val="00C94AB9"/>
    <w:rsid w:val="00C94B62"/>
    <w:rsid w:val="00C9529C"/>
    <w:rsid w:val="00C974FD"/>
    <w:rsid w:val="00CA08A7"/>
    <w:rsid w:val="00CA12A2"/>
    <w:rsid w:val="00CA2275"/>
    <w:rsid w:val="00CA2BEF"/>
    <w:rsid w:val="00CA2CDB"/>
    <w:rsid w:val="00CA388C"/>
    <w:rsid w:val="00CA4F37"/>
    <w:rsid w:val="00CA53D1"/>
    <w:rsid w:val="00CA6102"/>
    <w:rsid w:val="00CA6F1B"/>
    <w:rsid w:val="00CB16E2"/>
    <w:rsid w:val="00CB31B8"/>
    <w:rsid w:val="00CB33FE"/>
    <w:rsid w:val="00CB47C0"/>
    <w:rsid w:val="00CB4BAE"/>
    <w:rsid w:val="00CC57D5"/>
    <w:rsid w:val="00CC5823"/>
    <w:rsid w:val="00CC715A"/>
    <w:rsid w:val="00CC755C"/>
    <w:rsid w:val="00CD0064"/>
    <w:rsid w:val="00CD0F5C"/>
    <w:rsid w:val="00CD1061"/>
    <w:rsid w:val="00CD18CB"/>
    <w:rsid w:val="00CD397F"/>
    <w:rsid w:val="00CD41BE"/>
    <w:rsid w:val="00CD4E44"/>
    <w:rsid w:val="00CD52DE"/>
    <w:rsid w:val="00CD54B5"/>
    <w:rsid w:val="00CD7125"/>
    <w:rsid w:val="00CD7251"/>
    <w:rsid w:val="00CD76FB"/>
    <w:rsid w:val="00CD7725"/>
    <w:rsid w:val="00CD7B59"/>
    <w:rsid w:val="00CE1190"/>
    <w:rsid w:val="00CE1AE1"/>
    <w:rsid w:val="00CE1BFA"/>
    <w:rsid w:val="00CE31C9"/>
    <w:rsid w:val="00CE3956"/>
    <w:rsid w:val="00CE5208"/>
    <w:rsid w:val="00CE6E80"/>
    <w:rsid w:val="00CE77FA"/>
    <w:rsid w:val="00CF00E8"/>
    <w:rsid w:val="00CF1CA3"/>
    <w:rsid w:val="00CF1F2C"/>
    <w:rsid w:val="00CF20A9"/>
    <w:rsid w:val="00CF2AF3"/>
    <w:rsid w:val="00CF3FAE"/>
    <w:rsid w:val="00CF490E"/>
    <w:rsid w:val="00CF61A7"/>
    <w:rsid w:val="00CF6735"/>
    <w:rsid w:val="00CF7BC5"/>
    <w:rsid w:val="00D003BB"/>
    <w:rsid w:val="00D007D8"/>
    <w:rsid w:val="00D00973"/>
    <w:rsid w:val="00D02497"/>
    <w:rsid w:val="00D02A17"/>
    <w:rsid w:val="00D02EB3"/>
    <w:rsid w:val="00D03178"/>
    <w:rsid w:val="00D04A7D"/>
    <w:rsid w:val="00D06710"/>
    <w:rsid w:val="00D071B0"/>
    <w:rsid w:val="00D154F7"/>
    <w:rsid w:val="00D15672"/>
    <w:rsid w:val="00D15A4F"/>
    <w:rsid w:val="00D15F12"/>
    <w:rsid w:val="00D1795E"/>
    <w:rsid w:val="00D179EA"/>
    <w:rsid w:val="00D17D57"/>
    <w:rsid w:val="00D200B0"/>
    <w:rsid w:val="00D206C2"/>
    <w:rsid w:val="00D20B5C"/>
    <w:rsid w:val="00D20E0A"/>
    <w:rsid w:val="00D20E34"/>
    <w:rsid w:val="00D21002"/>
    <w:rsid w:val="00D21010"/>
    <w:rsid w:val="00D213C3"/>
    <w:rsid w:val="00D2311A"/>
    <w:rsid w:val="00D23F7C"/>
    <w:rsid w:val="00D24840"/>
    <w:rsid w:val="00D24CC4"/>
    <w:rsid w:val="00D251D2"/>
    <w:rsid w:val="00D25825"/>
    <w:rsid w:val="00D258EC"/>
    <w:rsid w:val="00D25FC2"/>
    <w:rsid w:val="00D26635"/>
    <w:rsid w:val="00D27D5D"/>
    <w:rsid w:val="00D324E0"/>
    <w:rsid w:val="00D32F93"/>
    <w:rsid w:val="00D33E43"/>
    <w:rsid w:val="00D33E75"/>
    <w:rsid w:val="00D34643"/>
    <w:rsid w:val="00D34A1D"/>
    <w:rsid w:val="00D35089"/>
    <w:rsid w:val="00D36E17"/>
    <w:rsid w:val="00D37427"/>
    <w:rsid w:val="00D37A6F"/>
    <w:rsid w:val="00D4050D"/>
    <w:rsid w:val="00D40C98"/>
    <w:rsid w:val="00D4168F"/>
    <w:rsid w:val="00D417BD"/>
    <w:rsid w:val="00D41DBD"/>
    <w:rsid w:val="00D43499"/>
    <w:rsid w:val="00D43B45"/>
    <w:rsid w:val="00D43DD8"/>
    <w:rsid w:val="00D44BCA"/>
    <w:rsid w:val="00D45CF8"/>
    <w:rsid w:val="00D47374"/>
    <w:rsid w:val="00D476EB"/>
    <w:rsid w:val="00D47AC4"/>
    <w:rsid w:val="00D50DFB"/>
    <w:rsid w:val="00D52A57"/>
    <w:rsid w:val="00D55C67"/>
    <w:rsid w:val="00D566CD"/>
    <w:rsid w:val="00D56B67"/>
    <w:rsid w:val="00D56FE4"/>
    <w:rsid w:val="00D60939"/>
    <w:rsid w:val="00D626B1"/>
    <w:rsid w:val="00D626EA"/>
    <w:rsid w:val="00D63B68"/>
    <w:rsid w:val="00D64180"/>
    <w:rsid w:val="00D646D0"/>
    <w:rsid w:val="00D6473A"/>
    <w:rsid w:val="00D6560F"/>
    <w:rsid w:val="00D6666C"/>
    <w:rsid w:val="00D67301"/>
    <w:rsid w:val="00D67FC5"/>
    <w:rsid w:val="00D70061"/>
    <w:rsid w:val="00D7025A"/>
    <w:rsid w:val="00D707D4"/>
    <w:rsid w:val="00D71B62"/>
    <w:rsid w:val="00D731A3"/>
    <w:rsid w:val="00D76581"/>
    <w:rsid w:val="00D766D6"/>
    <w:rsid w:val="00D76DBE"/>
    <w:rsid w:val="00D77130"/>
    <w:rsid w:val="00D80295"/>
    <w:rsid w:val="00D80AE8"/>
    <w:rsid w:val="00D80B03"/>
    <w:rsid w:val="00D81201"/>
    <w:rsid w:val="00D83985"/>
    <w:rsid w:val="00D83E85"/>
    <w:rsid w:val="00D8442A"/>
    <w:rsid w:val="00D84441"/>
    <w:rsid w:val="00D85EC0"/>
    <w:rsid w:val="00D86D9F"/>
    <w:rsid w:val="00D87ABB"/>
    <w:rsid w:val="00D91783"/>
    <w:rsid w:val="00D9188E"/>
    <w:rsid w:val="00D9193F"/>
    <w:rsid w:val="00D91B10"/>
    <w:rsid w:val="00D92028"/>
    <w:rsid w:val="00D937D2"/>
    <w:rsid w:val="00D93C85"/>
    <w:rsid w:val="00D948B3"/>
    <w:rsid w:val="00D951ED"/>
    <w:rsid w:val="00D96989"/>
    <w:rsid w:val="00D969D6"/>
    <w:rsid w:val="00D96D20"/>
    <w:rsid w:val="00D96E72"/>
    <w:rsid w:val="00D9759A"/>
    <w:rsid w:val="00DA04CB"/>
    <w:rsid w:val="00DA1B6F"/>
    <w:rsid w:val="00DA24F3"/>
    <w:rsid w:val="00DA3434"/>
    <w:rsid w:val="00DA4343"/>
    <w:rsid w:val="00DA4952"/>
    <w:rsid w:val="00DA4B2E"/>
    <w:rsid w:val="00DA4EA3"/>
    <w:rsid w:val="00DA56B1"/>
    <w:rsid w:val="00DA5DEA"/>
    <w:rsid w:val="00DA6626"/>
    <w:rsid w:val="00DA6DF4"/>
    <w:rsid w:val="00DA7AD8"/>
    <w:rsid w:val="00DB0BDB"/>
    <w:rsid w:val="00DB1E44"/>
    <w:rsid w:val="00DB2003"/>
    <w:rsid w:val="00DB37A1"/>
    <w:rsid w:val="00DB50EF"/>
    <w:rsid w:val="00DB5232"/>
    <w:rsid w:val="00DB6990"/>
    <w:rsid w:val="00DB6A23"/>
    <w:rsid w:val="00DC2B84"/>
    <w:rsid w:val="00DC2D64"/>
    <w:rsid w:val="00DC3346"/>
    <w:rsid w:val="00DC478F"/>
    <w:rsid w:val="00DC534E"/>
    <w:rsid w:val="00DC58C7"/>
    <w:rsid w:val="00DC6366"/>
    <w:rsid w:val="00DC7EB6"/>
    <w:rsid w:val="00DD1A86"/>
    <w:rsid w:val="00DD1C6F"/>
    <w:rsid w:val="00DD280E"/>
    <w:rsid w:val="00DD2D67"/>
    <w:rsid w:val="00DD4CEA"/>
    <w:rsid w:val="00DD53BF"/>
    <w:rsid w:val="00DD5453"/>
    <w:rsid w:val="00DD5A9A"/>
    <w:rsid w:val="00DD6071"/>
    <w:rsid w:val="00DD61EC"/>
    <w:rsid w:val="00DD7911"/>
    <w:rsid w:val="00DE020C"/>
    <w:rsid w:val="00DE03B0"/>
    <w:rsid w:val="00DE0B9C"/>
    <w:rsid w:val="00DE245E"/>
    <w:rsid w:val="00DE284B"/>
    <w:rsid w:val="00DE383C"/>
    <w:rsid w:val="00DE3D7F"/>
    <w:rsid w:val="00DE4472"/>
    <w:rsid w:val="00DE4CC2"/>
    <w:rsid w:val="00DE530E"/>
    <w:rsid w:val="00DE5417"/>
    <w:rsid w:val="00DE574C"/>
    <w:rsid w:val="00DE795B"/>
    <w:rsid w:val="00DF0B06"/>
    <w:rsid w:val="00DF0CD4"/>
    <w:rsid w:val="00DF1542"/>
    <w:rsid w:val="00DF3738"/>
    <w:rsid w:val="00DF39FA"/>
    <w:rsid w:val="00DF462D"/>
    <w:rsid w:val="00DF4C5F"/>
    <w:rsid w:val="00DF60F4"/>
    <w:rsid w:val="00DF6CAF"/>
    <w:rsid w:val="00DF70B1"/>
    <w:rsid w:val="00DF7C8C"/>
    <w:rsid w:val="00E0075E"/>
    <w:rsid w:val="00E037EC"/>
    <w:rsid w:val="00E0400D"/>
    <w:rsid w:val="00E043A4"/>
    <w:rsid w:val="00E0579E"/>
    <w:rsid w:val="00E063FF"/>
    <w:rsid w:val="00E06453"/>
    <w:rsid w:val="00E118E1"/>
    <w:rsid w:val="00E11FE0"/>
    <w:rsid w:val="00E12242"/>
    <w:rsid w:val="00E154AD"/>
    <w:rsid w:val="00E1672C"/>
    <w:rsid w:val="00E16C09"/>
    <w:rsid w:val="00E20F9E"/>
    <w:rsid w:val="00E21474"/>
    <w:rsid w:val="00E215DB"/>
    <w:rsid w:val="00E22041"/>
    <w:rsid w:val="00E22083"/>
    <w:rsid w:val="00E22E88"/>
    <w:rsid w:val="00E23609"/>
    <w:rsid w:val="00E24962"/>
    <w:rsid w:val="00E24B14"/>
    <w:rsid w:val="00E258EF"/>
    <w:rsid w:val="00E25C21"/>
    <w:rsid w:val="00E26C17"/>
    <w:rsid w:val="00E26C46"/>
    <w:rsid w:val="00E27179"/>
    <w:rsid w:val="00E2733C"/>
    <w:rsid w:val="00E27413"/>
    <w:rsid w:val="00E30D11"/>
    <w:rsid w:val="00E323EF"/>
    <w:rsid w:val="00E324B9"/>
    <w:rsid w:val="00E342A1"/>
    <w:rsid w:val="00E34528"/>
    <w:rsid w:val="00E34F72"/>
    <w:rsid w:val="00E3565B"/>
    <w:rsid w:val="00E363DC"/>
    <w:rsid w:val="00E37122"/>
    <w:rsid w:val="00E37FC0"/>
    <w:rsid w:val="00E41CF2"/>
    <w:rsid w:val="00E42B01"/>
    <w:rsid w:val="00E44D6A"/>
    <w:rsid w:val="00E4548A"/>
    <w:rsid w:val="00E47808"/>
    <w:rsid w:val="00E47DAC"/>
    <w:rsid w:val="00E502D5"/>
    <w:rsid w:val="00E50475"/>
    <w:rsid w:val="00E51658"/>
    <w:rsid w:val="00E51EBE"/>
    <w:rsid w:val="00E5339C"/>
    <w:rsid w:val="00E56A64"/>
    <w:rsid w:val="00E618B0"/>
    <w:rsid w:val="00E622A7"/>
    <w:rsid w:val="00E6522F"/>
    <w:rsid w:val="00E654A4"/>
    <w:rsid w:val="00E65666"/>
    <w:rsid w:val="00E657C2"/>
    <w:rsid w:val="00E67F02"/>
    <w:rsid w:val="00E72B8D"/>
    <w:rsid w:val="00E74253"/>
    <w:rsid w:val="00E745E0"/>
    <w:rsid w:val="00E807B6"/>
    <w:rsid w:val="00E82FD4"/>
    <w:rsid w:val="00E83A09"/>
    <w:rsid w:val="00E843B5"/>
    <w:rsid w:val="00E87CF4"/>
    <w:rsid w:val="00E90713"/>
    <w:rsid w:val="00E923B8"/>
    <w:rsid w:val="00E926DA"/>
    <w:rsid w:val="00E92EB5"/>
    <w:rsid w:val="00E9506B"/>
    <w:rsid w:val="00E97878"/>
    <w:rsid w:val="00E97CDC"/>
    <w:rsid w:val="00EA15A7"/>
    <w:rsid w:val="00EA2354"/>
    <w:rsid w:val="00EA2BA0"/>
    <w:rsid w:val="00EA3CA7"/>
    <w:rsid w:val="00EA43ED"/>
    <w:rsid w:val="00EA5C20"/>
    <w:rsid w:val="00EA7B1E"/>
    <w:rsid w:val="00EB0219"/>
    <w:rsid w:val="00EB2169"/>
    <w:rsid w:val="00EB2ECE"/>
    <w:rsid w:val="00EB3239"/>
    <w:rsid w:val="00EB5C7E"/>
    <w:rsid w:val="00EB7131"/>
    <w:rsid w:val="00EC13AE"/>
    <w:rsid w:val="00EC22D8"/>
    <w:rsid w:val="00EC2B05"/>
    <w:rsid w:val="00EC3700"/>
    <w:rsid w:val="00EC3938"/>
    <w:rsid w:val="00EC61F5"/>
    <w:rsid w:val="00EC64B9"/>
    <w:rsid w:val="00EC78C7"/>
    <w:rsid w:val="00ED09E1"/>
    <w:rsid w:val="00ED2F03"/>
    <w:rsid w:val="00ED3D1E"/>
    <w:rsid w:val="00ED428C"/>
    <w:rsid w:val="00ED4A50"/>
    <w:rsid w:val="00ED4DFB"/>
    <w:rsid w:val="00ED61CD"/>
    <w:rsid w:val="00ED7169"/>
    <w:rsid w:val="00ED7321"/>
    <w:rsid w:val="00ED736E"/>
    <w:rsid w:val="00ED7A8E"/>
    <w:rsid w:val="00EE2634"/>
    <w:rsid w:val="00EE2A10"/>
    <w:rsid w:val="00EE3BE0"/>
    <w:rsid w:val="00EE47C0"/>
    <w:rsid w:val="00EE52DE"/>
    <w:rsid w:val="00EE58F4"/>
    <w:rsid w:val="00EF1049"/>
    <w:rsid w:val="00EF2AFB"/>
    <w:rsid w:val="00EF2CF7"/>
    <w:rsid w:val="00EF315F"/>
    <w:rsid w:val="00EF497F"/>
    <w:rsid w:val="00EF4C91"/>
    <w:rsid w:val="00EF5180"/>
    <w:rsid w:val="00EF5782"/>
    <w:rsid w:val="00EF6C36"/>
    <w:rsid w:val="00F00BFD"/>
    <w:rsid w:val="00F00C08"/>
    <w:rsid w:val="00F013BA"/>
    <w:rsid w:val="00F02621"/>
    <w:rsid w:val="00F029DE"/>
    <w:rsid w:val="00F03070"/>
    <w:rsid w:val="00F039DE"/>
    <w:rsid w:val="00F03C6C"/>
    <w:rsid w:val="00F04A46"/>
    <w:rsid w:val="00F04A67"/>
    <w:rsid w:val="00F04F74"/>
    <w:rsid w:val="00F05342"/>
    <w:rsid w:val="00F0657A"/>
    <w:rsid w:val="00F07855"/>
    <w:rsid w:val="00F07DF4"/>
    <w:rsid w:val="00F1043C"/>
    <w:rsid w:val="00F106A3"/>
    <w:rsid w:val="00F10720"/>
    <w:rsid w:val="00F11A9A"/>
    <w:rsid w:val="00F11B41"/>
    <w:rsid w:val="00F11E1E"/>
    <w:rsid w:val="00F129F6"/>
    <w:rsid w:val="00F145A8"/>
    <w:rsid w:val="00F149B5"/>
    <w:rsid w:val="00F14F40"/>
    <w:rsid w:val="00F153EB"/>
    <w:rsid w:val="00F15CFD"/>
    <w:rsid w:val="00F164B7"/>
    <w:rsid w:val="00F16715"/>
    <w:rsid w:val="00F21CB7"/>
    <w:rsid w:val="00F227EC"/>
    <w:rsid w:val="00F22FBB"/>
    <w:rsid w:val="00F23514"/>
    <w:rsid w:val="00F23939"/>
    <w:rsid w:val="00F23BF4"/>
    <w:rsid w:val="00F23F27"/>
    <w:rsid w:val="00F24B0E"/>
    <w:rsid w:val="00F25170"/>
    <w:rsid w:val="00F257D3"/>
    <w:rsid w:val="00F26720"/>
    <w:rsid w:val="00F26C8C"/>
    <w:rsid w:val="00F277AF"/>
    <w:rsid w:val="00F30661"/>
    <w:rsid w:val="00F31353"/>
    <w:rsid w:val="00F3149A"/>
    <w:rsid w:val="00F32366"/>
    <w:rsid w:val="00F35311"/>
    <w:rsid w:val="00F353E6"/>
    <w:rsid w:val="00F37159"/>
    <w:rsid w:val="00F37FB7"/>
    <w:rsid w:val="00F41ECE"/>
    <w:rsid w:val="00F430BC"/>
    <w:rsid w:val="00F43935"/>
    <w:rsid w:val="00F43BFA"/>
    <w:rsid w:val="00F44514"/>
    <w:rsid w:val="00F44B77"/>
    <w:rsid w:val="00F457B2"/>
    <w:rsid w:val="00F46A56"/>
    <w:rsid w:val="00F50B3D"/>
    <w:rsid w:val="00F50C11"/>
    <w:rsid w:val="00F50C9E"/>
    <w:rsid w:val="00F513D8"/>
    <w:rsid w:val="00F51D53"/>
    <w:rsid w:val="00F52057"/>
    <w:rsid w:val="00F537DE"/>
    <w:rsid w:val="00F546C1"/>
    <w:rsid w:val="00F55A45"/>
    <w:rsid w:val="00F63F95"/>
    <w:rsid w:val="00F643AF"/>
    <w:rsid w:val="00F65681"/>
    <w:rsid w:val="00F65E5A"/>
    <w:rsid w:val="00F66F22"/>
    <w:rsid w:val="00F70A1B"/>
    <w:rsid w:val="00F71BD0"/>
    <w:rsid w:val="00F7363A"/>
    <w:rsid w:val="00F7537B"/>
    <w:rsid w:val="00F75785"/>
    <w:rsid w:val="00F76346"/>
    <w:rsid w:val="00F7645D"/>
    <w:rsid w:val="00F77965"/>
    <w:rsid w:val="00F80F55"/>
    <w:rsid w:val="00F810BC"/>
    <w:rsid w:val="00F81745"/>
    <w:rsid w:val="00F818F8"/>
    <w:rsid w:val="00F81B01"/>
    <w:rsid w:val="00F81E49"/>
    <w:rsid w:val="00F82F5A"/>
    <w:rsid w:val="00F833B8"/>
    <w:rsid w:val="00F83601"/>
    <w:rsid w:val="00F901D0"/>
    <w:rsid w:val="00F9090C"/>
    <w:rsid w:val="00F945D3"/>
    <w:rsid w:val="00F96060"/>
    <w:rsid w:val="00F96D4B"/>
    <w:rsid w:val="00F9708B"/>
    <w:rsid w:val="00F972F2"/>
    <w:rsid w:val="00FA0A6A"/>
    <w:rsid w:val="00FA1A7F"/>
    <w:rsid w:val="00FA2007"/>
    <w:rsid w:val="00FA2799"/>
    <w:rsid w:val="00FA3C98"/>
    <w:rsid w:val="00FA4965"/>
    <w:rsid w:val="00FA6ED4"/>
    <w:rsid w:val="00FB00C9"/>
    <w:rsid w:val="00FB03FF"/>
    <w:rsid w:val="00FB12FB"/>
    <w:rsid w:val="00FB16E1"/>
    <w:rsid w:val="00FB1D14"/>
    <w:rsid w:val="00FB32F4"/>
    <w:rsid w:val="00FB7307"/>
    <w:rsid w:val="00FC1868"/>
    <w:rsid w:val="00FC491D"/>
    <w:rsid w:val="00FC672B"/>
    <w:rsid w:val="00FC7F96"/>
    <w:rsid w:val="00FD0256"/>
    <w:rsid w:val="00FD04FE"/>
    <w:rsid w:val="00FD1330"/>
    <w:rsid w:val="00FD27A1"/>
    <w:rsid w:val="00FD3741"/>
    <w:rsid w:val="00FD4C39"/>
    <w:rsid w:val="00FD4E9B"/>
    <w:rsid w:val="00FD5191"/>
    <w:rsid w:val="00FD528E"/>
    <w:rsid w:val="00FD59CA"/>
    <w:rsid w:val="00FD68EE"/>
    <w:rsid w:val="00FD6DAF"/>
    <w:rsid w:val="00FE1A44"/>
    <w:rsid w:val="00FE1BEC"/>
    <w:rsid w:val="00FE3DF7"/>
    <w:rsid w:val="00FE4607"/>
    <w:rsid w:val="00FE4F29"/>
    <w:rsid w:val="00FE5925"/>
    <w:rsid w:val="00FE6CE1"/>
    <w:rsid w:val="00FE7C8B"/>
    <w:rsid w:val="00FE7F93"/>
    <w:rsid w:val="00FF073C"/>
    <w:rsid w:val="00FF0FCA"/>
    <w:rsid w:val="00FF13F5"/>
    <w:rsid w:val="00FF19D4"/>
    <w:rsid w:val="00FF2203"/>
    <w:rsid w:val="00FF275E"/>
    <w:rsid w:val="00FF3BCA"/>
    <w:rsid w:val="00FF41F4"/>
    <w:rsid w:val="00FF4F20"/>
    <w:rsid w:val="00FF5A4D"/>
    <w:rsid w:val="00FF67D1"/>
    <w:rsid w:val="00FF6A64"/>
    <w:rsid w:val="00FF702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D27E2"/>
  <w15:chartTrackingRefBased/>
  <w15:docId w15:val="{22009F59-84DA-49A0-B606-C9B24B158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38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1553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155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5083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B24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384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71553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71553A"/>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71553A"/>
    <w:rPr>
      <w:color w:val="0563C1" w:themeColor="hyperlink"/>
      <w:u w:val="single"/>
    </w:rPr>
  </w:style>
  <w:style w:type="paragraph" w:customStyle="1" w:styleId="Intros">
    <w:name w:val="Intros"/>
    <w:basedOn w:val="Normal"/>
    <w:qFormat/>
    <w:rsid w:val="0071553A"/>
    <w:pPr>
      <w:spacing w:after="120" w:line="276" w:lineRule="auto"/>
    </w:pPr>
    <w:rPr>
      <w:b/>
      <w:color w:val="808080" w:themeColor="background1" w:themeShade="80"/>
      <w:sz w:val="24"/>
      <w:szCs w:val="24"/>
      <w:lang w:val="en-GB"/>
    </w:rPr>
  </w:style>
  <w:style w:type="paragraph" w:styleId="FootnoteText">
    <w:name w:val="footnote text"/>
    <w:aliases w:val="Footnote Text Char1 Char,Footnote Text Char Char Char,Footnote Text Char1 Char Char Char,Footnote Text Char Char Char Char Char,Footnote Text Char2 Char Char Char Char Char,Footnote Text Char1,Footnote Text Char Char,fn,5_G,Table/Chart Ref"/>
    <w:basedOn w:val="Normal"/>
    <w:link w:val="FootnoteTextChar"/>
    <w:uiPriority w:val="99"/>
    <w:unhideWhenUsed/>
    <w:rsid w:val="008744AC"/>
    <w:pPr>
      <w:spacing w:after="0" w:line="240" w:lineRule="auto"/>
    </w:pPr>
    <w:rPr>
      <w:sz w:val="20"/>
      <w:szCs w:val="20"/>
    </w:rPr>
  </w:style>
  <w:style w:type="character" w:customStyle="1" w:styleId="FootnoteTextChar">
    <w:name w:val="Footnote Text Char"/>
    <w:aliases w:val="Footnote Text Char1 Char Char,Footnote Text Char Char Char Char,Footnote Text Char1 Char Char Char Char,Footnote Text Char Char Char Char Char Char,Footnote Text Char2 Char Char Char Char Char Char,Footnote Text Char1 Char1,fn Char"/>
    <w:basedOn w:val="DefaultParagraphFont"/>
    <w:link w:val="FootnoteText"/>
    <w:uiPriority w:val="99"/>
    <w:rsid w:val="008744AC"/>
    <w:rPr>
      <w:sz w:val="20"/>
      <w:szCs w:val="20"/>
    </w:rPr>
  </w:style>
  <w:style w:type="character" w:styleId="FootnoteReference">
    <w:name w:val="footnote reference"/>
    <w:aliases w:val="Footnotes refss,ftref,4_G,4_G Char Char Char Char Char,Footnotes refss Char Char Char Char Char,ftref Char Char Char Char Char,BVI fnr Char Char Char Char Char,BVI fnr Car Car Char Char Char Char Char,Ref,de nota al pie,註腳內容,11 pt"/>
    <w:basedOn w:val="DefaultParagraphFont"/>
    <w:link w:val="4GCharCharCharChar"/>
    <w:uiPriority w:val="99"/>
    <w:unhideWhenUsed/>
    <w:rsid w:val="008744AC"/>
    <w:rPr>
      <w:vertAlign w:val="superscript"/>
    </w:rPr>
  </w:style>
  <w:style w:type="character" w:styleId="CommentReference">
    <w:name w:val="annotation reference"/>
    <w:basedOn w:val="DefaultParagraphFont"/>
    <w:uiPriority w:val="99"/>
    <w:semiHidden/>
    <w:unhideWhenUsed/>
    <w:rsid w:val="00835CF7"/>
    <w:rPr>
      <w:sz w:val="16"/>
      <w:szCs w:val="16"/>
    </w:rPr>
  </w:style>
  <w:style w:type="paragraph" w:styleId="CommentText">
    <w:name w:val="annotation text"/>
    <w:basedOn w:val="Normal"/>
    <w:link w:val="CommentTextChar"/>
    <w:uiPriority w:val="99"/>
    <w:unhideWhenUsed/>
    <w:rsid w:val="00835CF7"/>
    <w:pPr>
      <w:spacing w:line="240" w:lineRule="auto"/>
    </w:pPr>
    <w:rPr>
      <w:sz w:val="20"/>
      <w:szCs w:val="20"/>
    </w:rPr>
  </w:style>
  <w:style w:type="character" w:customStyle="1" w:styleId="CommentTextChar">
    <w:name w:val="Comment Text Char"/>
    <w:basedOn w:val="DefaultParagraphFont"/>
    <w:link w:val="CommentText"/>
    <w:uiPriority w:val="99"/>
    <w:rsid w:val="00835CF7"/>
    <w:rPr>
      <w:sz w:val="20"/>
      <w:szCs w:val="20"/>
    </w:rPr>
  </w:style>
  <w:style w:type="paragraph" w:styleId="CommentSubject">
    <w:name w:val="annotation subject"/>
    <w:basedOn w:val="CommentText"/>
    <w:next w:val="CommentText"/>
    <w:link w:val="CommentSubjectChar"/>
    <w:uiPriority w:val="99"/>
    <w:semiHidden/>
    <w:unhideWhenUsed/>
    <w:rsid w:val="00835CF7"/>
    <w:rPr>
      <w:b/>
      <w:bCs/>
    </w:rPr>
  </w:style>
  <w:style w:type="character" w:customStyle="1" w:styleId="CommentSubjectChar">
    <w:name w:val="Comment Subject Char"/>
    <w:basedOn w:val="CommentTextChar"/>
    <w:link w:val="CommentSubject"/>
    <w:uiPriority w:val="99"/>
    <w:semiHidden/>
    <w:rsid w:val="00835CF7"/>
    <w:rPr>
      <w:b/>
      <w:bCs/>
      <w:sz w:val="20"/>
      <w:szCs w:val="20"/>
    </w:rPr>
  </w:style>
  <w:style w:type="paragraph" w:styleId="BalloonText">
    <w:name w:val="Balloon Text"/>
    <w:basedOn w:val="Normal"/>
    <w:link w:val="BalloonTextChar"/>
    <w:uiPriority w:val="99"/>
    <w:semiHidden/>
    <w:unhideWhenUsed/>
    <w:rsid w:val="00835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CF7"/>
    <w:rPr>
      <w:rFonts w:ascii="Segoe UI" w:hAnsi="Segoe UI" w:cs="Segoe UI"/>
      <w:sz w:val="18"/>
      <w:szCs w:val="18"/>
    </w:rPr>
  </w:style>
  <w:style w:type="character" w:customStyle="1" w:styleId="Heading4Char">
    <w:name w:val="Heading 4 Char"/>
    <w:basedOn w:val="DefaultParagraphFont"/>
    <w:link w:val="Heading4"/>
    <w:uiPriority w:val="9"/>
    <w:rsid w:val="00650832"/>
    <w:rPr>
      <w:rFonts w:asciiTheme="majorHAnsi" w:eastAsiaTheme="majorEastAsia" w:hAnsiTheme="majorHAnsi" w:cstheme="majorBidi"/>
      <w:i/>
      <w:iCs/>
      <w:color w:val="2E74B5" w:themeColor="accent1" w:themeShade="BF"/>
    </w:rPr>
  </w:style>
  <w:style w:type="table" w:styleId="TableGrid">
    <w:name w:val="Table Grid"/>
    <w:basedOn w:val="TableNormal"/>
    <w:uiPriority w:val="39"/>
    <w:rsid w:val="00805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5">
    <w:name w:val="Grid Table 2 Accent 5"/>
    <w:basedOn w:val="TableNormal"/>
    <w:uiPriority w:val="47"/>
    <w:rsid w:val="00805EDC"/>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ListParagraph">
    <w:name w:val="List Paragraph"/>
    <w:aliases w:val="List Paragraph1,List Paragraph11,List Paragraph2,Recommendation,Bullet 1,CV text,Dot pt,F5 List Paragraph,Indicator Text,L,List Paragraph Char Char Char,List Paragraph111,MAIN CONTENT,Normal numbered,Numbered Para 1,bullet point list,列出段落"/>
    <w:basedOn w:val="Normal"/>
    <w:link w:val="ListParagraphChar"/>
    <w:uiPriority w:val="34"/>
    <w:qFormat/>
    <w:rsid w:val="000E6CBD"/>
    <w:pPr>
      <w:ind w:left="720"/>
      <w:contextualSpacing/>
    </w:pPr>
  </w:style>
  <w:style w:type="character" w:customStyle="1" w:styleId="Heading5Char">
    <w:name w:val="Heading 5 Char"/>
    <w:basedOn w:val="DefaultParagraphFont"/>
    <w:link w:val="Heading5"/>
    <w:uiPriority w:val="9"/>
    <w:rsid w:val="00B241CE"/>
    <w:rPr>
      <w:rFonts w:asciiTheme="majorHAnsi" w:eastAsiaTheme="majorEastAsia" w:hAnsiTheme="majorHAnsi" w:cstheme="majorBidi"/>
      <w:color w:val="2E74B5" w:themeColor="accent1" w:themeShade="BF"/>
    </w:rPr>
  </w:style>
  <w:style w:type="paragraph" w:customStyle="1" w:styleId="4GCharCharCharChar">
    <w:name w:val="4_G Char Char Char Char"/>
    <w:aliases w:val="Footnotes refss Char Char Char Char,ftref Char Char Char Char,BVI fnr Char Char Char Char,BVI fnr Car Car Char Char Char Char,BVI fnr Car Char Char Char Char,BVI fnr Car Car Car Car Char Char1 Char Char"/>
    <w:basedOn w:val="Normal"/>
    <w:link w:val="FootnoteReference"/>
    <w:uiPriority w:val="99"/>
    <w:rsid w:val="007C5520"/>
    <w:pPr>
      <w:spacing w:line="240" w:lineRule="exact"/>
      <w:jc w:val="both"/>
    </w:pPr>
    <w:rPr>
      <w:vertAlign w:val="superscript"/>
    </w:rPr>
  </w:style>
  <w:style w:type="character" w:styleId="FollowedHyperlink">
    <w:name w:val="FollowedHyperlink"/>
    <w:basedOn w:val="DefaultParagraphFont"/>
    <w:uiPriority w:val="99"/>
    <w:semiHidden/>
    <w:unhideWhenUsed/>
    <w:rsid w:val="00377379"/>
    <w:rPr>
      <w:color w:val="954F72" w:themeColor="followedHyperlink"/>
      <w:u w:val="single"/>
    </w:rPr>
  </w:style>
  <w:style w:type="paragraph" w:styleId="Header">
    <w:name w:val="header"/>
    <w:basedOn w:val="Normal"/>
    <w:link w:val="HeaderChar"/>
    <w:uiPriority w:val="99"/>
    <w:unhideWhenUsed/>
    <w:rsid w:val="000D45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45F0"/>
  </w:style>
  <w:style w:type="paragraph" w:styleId="Footer">
    <w:name w:val="footer"/>
    <w:basedOn w:val="Normal"/>
    <w:link w:val="FooterChar"/>
    <w:uiPriority w:val="99"/>
    <w:unhideWhenUsed/>
    <w:rsid w:val="000D4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45F0"/>
  </w:style>
  <w:style w:type="paragraph" w:customStyle="1" w:styleId="pCORPORATE">
    <w:name w:val="p (CORPORATE)"/>
    <w:basedOn w:val="Normal"/>
    <w:uiPriority w:val="99"/>
    <w:rsid w:val="008B2FCF"/>
    <w:pPr>
      <w:autoSpaceDE w:val="0"/>
      <w:autoSpaceDN w:val="0"/>
      <w:spacing w:after="80" w:line="240" w:lineRule="atLeast"/>
    </w:pPr>
    <w:rPr>
      <w:rFonts w:ascii="Gotham Narrow Light" w:hAnsi="Gotham Narrow Light" w:cs="Times New Roman"/>
      <w:color w:val="000000"/>
      <w:sz w:val="18"/>
      <w:szCs w:val="18"/>
    </w:rPr>
  </w:style>
  <w:style w:type="paragraph" w:styleId="TOCHeading">
    <w:name w:val="TOC Heading"/>
    <w:basedOn w:val="Heading1"/>
    <w:next w:val="Normal"/>
    <w:uiPriority w:val="39"/>
    <w:unhideWhenUsed/>
    <w:qFormat/>
    <w:rsid w:val="00A46C02"/>
    <w:pPr>
      <w:outlineLvl w:val="9"/>
    </w:pPr>
    <w:rPr>
      <w:lang w:val="en-US"/>
    </w:rPr>
  </w:style>
  <w:style w:type="paragraph" w:styleId="TOC1">
    <w:name w:val="toc 1"/>
    <w:basedOn w:val="Normal"/>
    <w:next w:val="Normal"/>
    <w:autoRedefine/>
    <w:uiPriority w:val="39"/>
    <w:unhideWhenUsed/>
    <w:rsid w:val="008949B4"/>
    <w:pPr>
      <w:tabs>
        <w:tab w:val="right" w:leader="dot" w:pos="9016"/>
      </w:tabs>
      <w:spacing w:after="100"/>
    </w:pPr>
  </w:style>
  <w:style w:type="paragraph" w:styleId="TOC2">
    <w:name w:val="toc 2"/>
    <w:basedOn w:val="Normal"/>
    <w:next w:val="Normal"/>
    <w:autoRedefine/>
    <w:uiPriority w:val="39"/>
    <w:unhideWhenUsed/>
    <w:rsid w:val="00A46C02"/>
    <w:pPr>
      <w:spacing w:after="100"/>
      <w:ind w:left="220"/>
    </w:pPr>
  </w:style>
  <w:style w:type="paragraph" w:styleId="TOC3">
    <w:name w:val="toc 3"/>
    <w:basedOn w:val="Normal"/>
    <w:next w:val="Normal"/>
    <w:autoRedefine/>
    <w:uiPriority w:val="39"/>
    <w:unhideWhenUsed/>
    <w:rsid w:val="00A46C02"/>
    <w:pPr>
      <w:spacing w:after="100"/>
      <w:ind w:left="440"/>
    </w:pPr>
  </w:style>
  <w:style w:type="character" w:customStyle="1" w:styleId="ListParagraphChar">
    <w:name w:val="List Paragraph Char"/>
    <w:aliases w:val="List Paragraph1 Char,List Paragraph11 Char,List Paragraph2 Char,Recommendation Char,Bullet 1 Char,CV text Char,Dot pt Char,F5 List Paragraph Char,Indicator Text Char,L Char,List Paragraph Char Char Char Char,List Paragraph111 Char"/>
    <w:basedOn w:val="DefaultParagraphFont"/>
    <w:link w:val="ListParagraph"/>
    <w:uiPriority w:val="34"/>
    <w:locked/>
    <w:rsid w:val="00CE77FA"/>
  </w:style>
  <w:style w:type="paragraph" w:customStyle="1" w:styleId="Casestudy">
    <w:name w:val="Case study"/>
    <w:basedOn w:val="Normal"/>
    <w:qFormat/>
    <w:rsid w:val="00943CD2"/>
    <w:pPr>
      <w:pBdr>
        <w:top w:val="single" w:sz="4" w:space="4" w:color="ED7D31" w:themeColor="accent2"/>
        <w:left w:val="single" w:sz="4" w:space="4" w:color="ED7D31" w:themeColor="accent2"/>
        <w:bottom w:val="single" w:sz="4" w:space="4" w:color="ED7D31" w:themeColor="accent2"/>
        <w:right w:val="single" w:sz="4" w:space="4" w:color="ED7D31" w:themeColor="accent2"/>
      </w:pBdr>
      <w:shd w:val="clear" w:color="auto" w:fill="FDF1E9" w:themeFill="accent2" w:themeFillTint="1A"/>
      <w:spacing w:after="120" w:line="276" w:lineRule="auto"/>
      <w:ind w:left="113" w:right="113"/>
    </w:pPr>
    <w:rPr>
      <w:sz w:val="20"/>
    </w:rPr>
  </w:style>
  <w:style w:type="character" w:customStyle="1" w:styleId="Tabletitle">
    <w:name w:val="Table title"/>
    <w:basedOn w:val="DefaultParagraphFont"/>
    <w:uiPriority w:val="1"/>
    <w:qFormat/>
    <w:rsid w:val="005E1039"/>
    <w:rPr>
      <w:b/>
      <w:color w:val="5B9BD5" w:themeColor="accent1"/>
    </w:rPr>
  </w:style>
  <w:style w:type="paragraph" w:styleId="BodyText">
    <w:name w:val="Body Text"/>
    <w:basedOn w:val="Normal"/>
    <w:link w:val="BodyTextChar"/>
    <w:uiPriority w:val="1"/>
    <w:qFormat/>
    <w:rsid w:val="005E1039"/>
    <w:pPr>
      <w:widowControl w:val="0"/>
      <w:autoSpaceDE w:val="0"/>
      <w:autoSpaceDN w:val="0"/>
      <w:spacing w:after="0" w:line="240" w:lineRule="auto"/>
      <w:ind w:left="20"/>
    </w:pPr>
    <w:rPr>
      <w:rFonts w:ascii="Calibri" w:eastAsia="Calibri" w:hAnsi="Calibri" w:cs="Calibri"/>
      <w:sz w:val="24"/>
      <w:szCs w:val="24"/>
      <w:lang w:val="en-US"/>
    </w:rPr>
  </w:style>
  <w:style w:type="character" w:customStyle="1" w:styleId="BodyTextChar">
    <w:name w:val="Body Text Char"/>
    <w:basedOn w:val="DefaultParagraphFont"/>
    <w:link w:val="BodyText"/>
    <w:uiPriority w:val="1"/>
    <w:rsid w:val="005E1039"/>
    <w:rPr>
      <w:rFonts w:ascii="Calibri" w:eastAsia="Calibri" w:hAnsi="Calibri" w:cs="Calibri"/>
      <w:sz w:val="24"/>
      <w:szCs w:val="24"/>
      <w:lang w:val="en-US"/>
    </w:rPr>
  </w:style>
  <w:style w:type="paragraph" w:styleId="Revision">
    <w:name w:val="Revision"/>
    <w:hidden/>
    <w:uiPriority w:val="99"/>
    <w:semiHidden/>
    <w:rsid w:val="00637241"/>
    <w:pPr>
      <w:spacing w:after="0" w:line="240" w:lineRule="auto"/>
    </w:pPr>
  </w:style>
  <w:style w:type="paragraph" w:styleId="Title">
    <w:name w:val="Title"/>
    <w:basedOn w:val="Normal"/>
    <w:next w:val="Normal"/>
    <w:link w:val="TitleChar"/>
    <w:uiPriority w:val="10"/>
    <w:qFormat/>
    <w:rsid w:val="004C373A"/>
    <w:pPr>
      <w:spacing w:before="9480" w:after="480" w:line="240" w:lineRule="auto"/>
      <w:contextualSpacing/>
    </w:pPr>
    <w:rPr>
      <w:rFonts w:asciiTheme="majorHAnsi" w:eastAsiaTheme="majorEastAsia" w:hAnsiTheme="majorHAnsi" w:cstheme="majorBidi"/>
      <w:b/>
      <w:color w:val="FFFFFF" w:themeColor="background1"/>
      <w:spacing w:val="5"/>
      <w:kern w:val="28"/>
      <w:sz w:val="40"/>
      <w:szCs w:val="52"/>
    </w:rPr>
  </w:style>
  <w:style w:type="character" w:customStyle="1" w:styleId="TitleChar">
    <w:name w:val="Title Char"/>
    <w:basedOn w:val="DefaultParagraphFont"/>
    <w:link w:val="Title"/>
    <w:uiPriority w:val="10"/>
    <w:rsid w:val="004C373A"/>
    <w:rPr>
      <w:rFonts w:asciiTheme="majorHAnsi" w:eastAsiaTheme="majorEastAsia" w:hAnsiTheme="majorHAnsi" w:cstheme="majorBidi"/>
      <w:b/>
      <w:color w:val="FFFFFF" w:themeColor="background1"/>
      <w:spacing w:val="5"/>
      <w:kern w:val="28"/>
      <w:sz w:val="40"/>
      <w:szCs w:val="52"/>
    </w:rPr>
  </w:style>
  <w:style w:type="character" w:styleId="PageNumber">
    <w:name w:val="page number"/>
    <w:basedOn w:val="DefaultParagraphFont"/>
    <w:uiPriority w:val="99"/>
    <w:semiHidden/>
    <w:unhideWhenUsed/>
    <w:rsid w:val="004C373A"/>
  </w:style>
  <w:style w:type="paragraph" w:customStyle="1" w:styleId="Pa14">
    <w:name w:val="Pa14"/>
    <w:basedOn w:val="Normal"/>
    <w:next w:val="Normal"/>
    <w:uiPriority w:val="99"/>
    <w:rsid w:val="00CD18CB"/>
    <w:pPr>
      <w:autoSpaceDE w:val="0"/>
      <w:autoSpaceDN w:val="0"/>
      <w:adjustRightInd w:val="0"/>
      <w:spacing w:after="0" w:line="191" w:lineRule="atLeast"/>
    </w:pPr>
    <w:rPr>
      <w:rFonts w:ascii="Gotham Bold" w:hAnsi="Gotham Bold"/>
      <w:sz w:val="24"/>
      <w:szCs w:val="24"/>
    </w:rPr>
  </w:style>
  <w:style w:type="paragraph" w:styleId="NoSpacing">
    <w:name w:val="No Spacing"/>
    <w:uiPriority w:val="1"/>
    <w:qFormat/>
    <w:rsid w:val="00546F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21744">
      <w:bodyDiv w:val="1"/>
      <w:marLeft w:val="0"/>
      <w:marRight w:val="0"/>
      <w:marTop w:val="0"/>
      <w:marBottom w:val="0"/>
      <w:divBdr>
        <w:top w:val="none" w:sz="0" w:space="0" w:color="auto"/>
        <w:left w:val="none" w:sz="0" w:space="0" w:color="auto"/>
        <w:bottom w:val="none" w:sz="0" w:space="0" w:color="auto"/>
        <w:right w:val="none" w:sz="0" w:space="0" w:color="auto"/>
      </w:divBdr>
    </w:div>
    <w:div w:id="49809948">
      <w:bodyDiv w:val="1"/>
      <w:marLeft w:val="0"/>
      <w:marRight w:val="0"/>
      <w:marTop w:val="0"/>
      <w:marBottom w:val="0"/>
      <w:divBdr>
        <w:top w:val="none" w:sz="0" w:space="0" w:color="auto"/>
        <w:left w:val="none" w:sz="0" w:space="0" w:color="auto"/>
        <w:bottom w:val="none" w:sz="0" w:space="0" w:color="auto"/>
        <w:right w:val="none" w:sz="0" w:space="0" w:color="auto"/>
      </w:divBdr>
    </w:div>
    <w:div w:id="116457987">
      <w:bodyDiv w:val="1"/>
      <w:marLeft w:val="0"/>
      <w:marRight w:val="0"/>
      <w:marTop w:val="0"/>
      <w:marBottom w:val="0"/>
      <w:divBdr>
        <w:top w:val="none" w:sz="0" w:space="0" w:color="auto"/>
        <w:left w:val="none" w:sz="0" w:space="0" w:color="auto"/>
        <w:bottom w:val="none" w:sz="0" w:space="0" w:color="auto"/>
        <w:right w:val="none" w:sz="0" w:space="0" w:color="auto"/>
      </w:divBdr>
    </w:div>
    <w:div w:id="293602263">
      <w:bodyDiv w:val="1"/>
      <w:marLeft w:val="0"/>
      <w:marRight w:val="0"/>
      <w:marTop w:val="0"/>
      <w:marBottom w:val="0"/>
      <w:divBdr>
        <w:top w:val="none" w:sz="0" w:space="0" w:color="auto"/>
        <w:left w:val="none" w:sz="0" w:space="0" w:color="auto"/>
        <w:bottom w:val="none" w:sz="0" w:space="0" w:color="auto"/>
        <w:right w:val="none" w:sz="0" w:space="0" w:color="auto"/>
      </w:divBdr>
    </w:div>
    <w:div w:id="308365325">
      <w:bodyDiv w:val="1"/>
      <w:marLeft w:val="0"/>
      <w:marRight w:val="0"/>
      <w:marTop w:val="0"/>
      <w:marBottom w:val="0"/>
      <w:divBdr>
        <w:top w:val="none" w:sz="0" w:space="0" w:color="auto"/>
        <w:left w:val="none" w:sz="0" w:space="0" w:color="auto"/>
        <w:bottom w:val="none" w:sz="0" w:space="0" w:color="auto"/>
        <w:right w:val="none" w:sz="0" w:space="0" w:color="auto"/>
      </w:divBdr>
    </w:div>
    <w:div w:id="314337062">
      <w:bodyDiv w:val="1"/>
      <w:marLeft w:val="0"/>
      <w:marRight w:val="0"/>
      <w:marTop w:val="0"/>
      <w:marBottom w:val="0"/>
      <w:divBdr>
        <w:top w:val="none" w:sz="0" w:space="0" w:color="auto"/>
        <w:left w:val="none" w:sz="0" w:space="0" w:color="auto"/>
        <w:bottom w:val="none" w:sz="0" w:space="0" w:color="auto"/>
        <w:right w:val="none" w:sz="0" w:space="0" w:color="auto"/>
      </w:divBdr>
    </w:div>
    <w:div w:id="314919986">
      <w:bodyDiv w:val="1"/>
      <w:marLeft w:val="0"/>
      <w:marRight w:val="0"/>
      <w:marTop w:val="0"/>
      <w:marBottom w:val="0"/>
      <w:divBdr>
        <w:top w:val="none" w:sz="0" w:space="0" w:color="auto"/>
        <w:left w:val="none" w:sz="0" w:space="0" w:color="auto"/>
        <w:bottom w:val="none" w:sz="0" w:space="0" w:color="auto"/>
        <w:right w:val="none" w:sz="0" w:space="0" w:color="auto"/>
      </w:divBdr>
    </w:div>
    <w:div w:id="426315532">
      <w:bodyDiv w:val="1"/>
      <w:marLeft w:val="0"/>
      <w:marRight w:val="0"/>
      <w:marTop w:val="0"/>
      <w:marBottom w:val="0"/>
      <w:divBdr>
        <w:top w:val="none" w:sz="0" w:space="0" w:color="auto"/>
        <w:left w:val="none" w:sz="0" w:space="0" w:color="auto"/>
        <w:bottom w:val="none" w:sz="0" w:space="0" w:color="auto"/>
        <w:right w:val="none" w:sz="0" w:space="0" w:color="auto"/>
      </w:divBdr>
    </w:div>
    <w:div w:id="438257950">
      <w:bodyDiv w:val="1"/>
      <w:marLeft w:val="0"/>
      <w:marRight w:val="0"/>
      <w:marTop w:val="0"/>
      <w:marBottom w:val="0"/>
      <w:divBdr>
        <w:top w:val="none" w:sz="0" w:space="0" w:color="auto"/>
        <w:left w:val="none" w:sz="0" w:space="0" w:color="auto"/>
        <w:bottom w:val="none" w:sz="0" w:space="0" w:color="auto"/>
        <w:right w:val="none" w:sz="0" w:space="0" w:color="auto"/>
      </w:divBdr>
    </w:div>
    <w:div w:id="576087292">
      <w:bodyDiv w:val="1"/>
      <w:marLeft w:val="0"/>
      <w:marRight w:val="0"/>
      <w:marTop w:val="0"/>
      <w:marBottom w:val="0"/>
      <w:divBdr>
        <w:top w:val="none" w:sz="0" w:space="0" w:color="auto"/>
        <w:left w:val="none" w:sz="0" w:space="0" w:color="auto"/>
        <w:bottom w:val="none" w:sz="0" w:space="0" w:color="auto"/>
        <w:right w:val="none" w:sz="0" w:space="0" w:color="auto"/>
      </w:divBdr>
    </w:div>
    <w:div w:id="676929209">
      <w:bodyDiv w:val="1"/>
      <w:marLeft w:val="0"/>
      <w:marRight w:val="0"/>
      <w:marTop w:val="0"/>
      <w:marBottom w:val="0"/>
      <w:divBdr>
        <w:top w:val="none" w:sz="0" w:space="0" w:color="auto"/>
        <w:left w:val="none" w:sz="0" w:space="0" w:color="auto"/>
        <w:bottom w:val="none" w:sz="0" w:space="0" w:color="auto"/>
        <w:right w:val="none" w:sz="0" w:space="0" w:color="auto"/>
      </w:divBdr>
    </w:div>
    <w:div w:id="977496332">
      <w:bodyDiv w:val="1"/>
      <w:marLeft w:val="0"/>
      <w:marRight w:val="0"/>
      <w:marTop w:val="0"/>
      <w:marBottom w:val="0"/>
      <w:divBdr>
        <w:top w:val="none" w:sz="0" w:space="0" w:color="auto"/>
        <w:left w:val="none" w:sz="0" w:space="0" w:color="auto"/>
        <w:bottom w:val="none" w:sz="0" w:space="0" w:color="auto"/>
        <w:right w:val="none" w:sz="0" w:space="0" w:color="auto"/>
      </w:divBdr>
    </w:div>
    <w:div w:id="1045135242">
      <w:bodyDiv w:val="1"/>
      <w:marLeft w:val="0"/>
      <w:marRight w:val="0"/>
      <w:marTop w:val="0"/>
      <w:marBottom w:val="0"/>
      <w:divBdr>
        <w:top w:val="none" w:sz="0" w:space="0" w:color="auto"/>
        <w:left w:val="none" w:sz="0" w:space="0" w:color="auto"/>
        <w:bottom w:val="none" w:sz="0" w:space="0" w:color="auto"/>
        <w:right w:val="none" w:sz="0" w:space="0" w:color="auto"/>
      </w:divBdr>
    </w:div>
    <w:div w:id="1173490251">
      <w:bodyDiv w:val="1"/>
      <w:marLeft w:val="0"/>
      <w:marRight w:val="0"/>
      <w:marTop w:val="0"/>
      <w:marBottom w:val="0"/>
      <w:divBdr>
        <w:top w:val="none" w:sz="0" w:space="0" w:color="auto"/>
        <w:left w:val="none" w:sz="0" w:space="0" w:color="auto"/>
        <w:bottom w:val="none" w:sz="0" w:space="0" w:color="auto"/>
        <w:right w:val="none" w:sz="0" w:space="0" w:color="auto"/>
      </w:divBdr>
    </w:div>
    <w:div w:id="1313024716">
      <w:bodyDiv w:val="1"/>
      <w:marLeft w:val="0"/>
      <w:marRight w:val="0"/>
      <w:marTop w:val="0"/>
      <w:marBottom w:val="0"/>
      <w:divBdr>
        <w:top w:val="none" w:sz="0" w:space="0" w:color="auto"/>
        <w:left w:val="none" w:sz="0" w:space="0" w:color="auto"/>
        <w:bottom w:val="none" w:sz="0" w:space="0" w:color="auto"/>
        <w:right w:val="none" w:sz="0" w:space="0" w:color="auto"/>
      </w:divBdr>
    </w:div>
    <w:div w:id="1616787977">
      <w:bodyDiv w:val="1"/>
      <w:marLeft w:val="0"/>
      <w:marRight w:val="0"/>
      <w:marTop w:val="0"/>
      <w:marBottom w:val="0"/>
      <w:divBdr>
        <w:top w:val="none" w:sz="0" w:space="0" w:color="auto"/>
        <w:left w:val="none" w:sz="0" w:space="0" w:color="auto"/>
        <w:bottom w:val="none" w:sz="0" w:space="0" w:color="auto"/>
        <w:right w:val="none" w:sz="0" w:space="0" w:color="auto"/>
      </w:divBdr>
    </w:div>
    <w:div w:id="1728724054">
      <w:bodyDiv w:val="1"/>
      <w:marLeft w:val="0"/>
      <w:marRight w:val="0"/>
      <w:marTop w:val="0"/>
      <w:marBottom w:val="0"/>
      <w:divBdr>
        <w:top w:val="none" w:sz="0" w:space="0" w:color="auto"/>
        <w:left w:val="none" w:sz="0" w:space="0" w:color="auto"/>
        <w:bottom w:val="none" w:sz="0" w:space="0" w:color="auto"/>
        <w:right w:val="none" w:sz="0" w:space="0" w:color="auto"/>
      </w:divBdr>
    </w:div>
    <w:div w:id="1868374874">
      <w:bodyDiv w:val="1"/>
      <w:marLeft w:val="0"/>
      <w:marRight w:val="0"/>
      <w:marTop w:val="0"/>
      <w:marBottom w:val="0"/>
      <w:divBdr>
        <w:top w:val="none" w:sz="0" w:space="0" w:color="auto"/>
        <w:left w:val="none" w:sz="0" w:space="0" w:color="auto"/>
        <w:bottom w:val="none" w:sz="0" w:space="0" w:color="auto"/>
        <w:right w:val="none" w:sz="0" w:space="0" w:color="auto"/>
      </w:divBdr>
    </w:div>
    <w:div w:id="1903179262">
      <w:bodyDiv w:val="1"/>
      <w:marLeft w:val="0"/>
      <w:marRight w:val="0"/>
      <w:marTop w:val="0"/>
      <w:marBottom w:val="0"/>
      <w:divBdr>
        <w:top w:val="none" w:sz="0" w:space="0" w:color="auto"/>
        <w:left w:val="none" w:sz="0" w:space="0" w:color="auto"/>
        <w:bottom w:val="none" w:sz="0" w:space="0" w:color="auto"/>
        <w:right w:val="none" w:sz="0" w:space="0" w:color="auto"/>
      </w:divBdr>
    </w:div>
    <w:div w:id="1949116764">
      <w:bodyDiv w:val="1"/>
      <w:marLeft w:val="0"/>
      <w:marRight w:val="0"/>
      <w:marTop w:val="0"/>
      <w:marBottom w:val="0"/>
      <w:divBdr>
        <w:top w:val="none" w:sz="0" w:space="0" w:color="auto"/>
        <w:left w:val="none" w:sz="0" w:space="0" w:color="auto"/>
        <w:bottom w:val="none" w:sz="0" w:space="0" w:color="auto"/>
        <w:right w:val="none" w:sz="0" w:space="0" w:color="auto"/>
      </w:divBdr>
    </w:div>
    <w:div w:id="2049062824">
      <w:bodyDiv w:val="1"/>
      <w:marLeft w:val="0"/>
      <w:marRight w:val="0"/>
      <w:marTop w:val="0"/>
      <w:marBottom w:val="0"/>
      <w:divBdr>
        <w:top w:val="none" w:sz="0" w:space="0" w:color="auto"/>
        <w:left w:val="none" w:sz="0" w:space="0" w:color="auto"/>
        <w:bottom w:val="none" w:sz="0" w:space="0" w:color="auto"/>
        <w:right w:val="none" w:sz="0" w:space="0" w:color="auto"/>
      </w:divBdr>
    </w:div>
    <w:div w:id="2088649905">
      <w:bodyDiv w:val="1"/>
      <w:marLeft w:val="0"/>
      <w:marRight w:val="0"/>
      <w:marTop w:val="0"/>
      <w:marBottom w:val="0"/>
      <w:divBdr>
        <w:top w:val="none" w:sz="0" w:space="0" w:color="auto"/>
        <w:left w:val="none" w:sz="0" w:space="0" w:color="auto"/>
        <w:bottom w:val="none" w:sz="0" w:space="0" w:color="auto"/>
        <w:right w:val="none" w:sz="0" w:space="0" w:color="auto"/>
      </w:divBdr>
    </w:div>
    <w:div w:id="210279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consult.industry.gov.au/measurement-law-review/measurement-in-everyday-lif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tb.de/cms/en.htm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industry.gov.au/measurement-law-review"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easurementlawreview@industry.gov.au" TargetMode="External"/><Relationship Id="rId20" Type="http://schemas.openxmlformats.org/officeDocument/2006/relationships/hyperlink" Target="https://eur-lex.europa.eu/legal-content/EN/TXT/?uri=CELEX:32014L003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legislation.gov.au/" TargetMode="External"/><Relationship Id="rId23" Type="http://schemas.openxmlformats.org/officeDocument/2006/relationships/hyperlink" Target="http://www.measurement.gov.au/Publications/NMIVDocuments/Pages/default.aspx" TargetMode="Externa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onsult.industry.gov.au/measurement-law-review/measurement-in-everyday-life" TargetMode="External"/><Relationship Id="rId22" Type="http://schemas.openxmlformats.org/officeDocument/2006/relationships/hyperlink" Target="https://ec.europa.eu/growth/single-market/european-standards/harmonised-standards/weighing-instruments_e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CELEX:32014L0032" TargetMode="External"/><Relationship Id="rId1" Type="http://schemas.openxmlformats.org/officeDocument/2006/relationships/hyperlink" Target="https://consult.industry.gov.au/national-measurement-institute/nitp-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http://schemas.microsoft.com/sharepoint/v3" xsi:nil="true"/>
    <n99e4c9942c6404eb103464a00e6097b xmlns="ef1c6b3d-2616-4020-9054-bdf2c47fde80">
      <Terms xmlns="http://schemas.microsoft.com/office/infopath/2007/PartnerControls"/>
    </n99e4c9942c6404eb103464a00e6097b>
    <g7bcb40ba23249a78edca7d43a67c1c9 xmlns="ef1c6b3d-2616-4020-9054-bdf2c47fde80">
      <Terms xmlns="http://schemas.microsoft.com/office/infopath/2007/PartnerControls">
        <TermInfo xmlns="http://schemas.microsoft.com/office/infopath/2007/PartnerControls">
          <TermName xmlns="http://schemas.microsoft.com/office/infopath/2007/PartnerControls">Engagement</TermName>
          <TermId xmlns="http://schemas.microsoft.com/office/infopath/2007/PartnerControls">70267ed8-6bd2-4b96-bc60-cce33581fb54</TermId>
        </TermInfo>
      </Terms>
    </g7bcb40ba23249a78edca7d43a67c1c9>
    <aa25a1a23adf4c92a153145de6afe324 xmlns="ef1c6b3d-2616-4020-9054-bdf2c47fde80">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TaxCatchAll xmlns="ef1c6b3d-2616-4020-9054-bdf2c47fde80">
      <Value>352</Value>
      <Value>4</Value>
      <Value>471</Value>
      <Value>218</Value>
    </TaxCatchAll>
    <pe2555c81638466f9eb614edb9ecde52 xmlns="ef1c6b3d-2616-4020-9054-bdf2c47fde80">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adb9bed2e36e4a93af574aeb444da63e xmlns="ef1c6b3d-2616-4020-9054-bdf2c47fde80">
      <Terms xmlns="http://schemas.microsoft.com/office/infopath/2007/PartnerControls"/>
    </adb9bed2e36e4a93af574aeb444da63e>
    <_dlc_DocId xmlns="ef1c6b3d-2616-4020-9054-bdf2c47fde80">A3PSR54DD4M5-1099534962-897</_dlc_DocId>
    <_dlc_DocIdUrl xmlns="ef1c6b3d-2616-4020-9054-bdf2c47fde80">
      <Url>https://dochub/div/sectoralgrowthpolicy/businessfunctions/chemicalspolicymanagement/_layouts/15/DocIdRedir.aspx?ID=A3PSR54DD4M5-1099534962-897</Url>
      <Description>A3PSR54DD4M5-1099534962-897</Description>
    </_dlc_DocIdUrl>
    <DocHub_MeetingDate xmlns="898be809-5e21-4b54-881d-d8a3488368c8" xsi:nil="true"/>
    <gabcb1eff41b4b4092332a967995e2a8 xmlns="898be809-5e21-4b54-881d-d8a3488368c8">
      <Terms xmlns="http://schemas.microsoft.com/office/infopath/2007/PartnerControls">
        <TermInfo xmlns="http://schemas.microsoft.com/office/infopath/2007/PartnerControls">
          <TermName xmlns="http://schemas.microsoft.com/office/infopath/2007/PartnerControls">Industry engagement</TermName>
          <TermId xmlns="http://schemas.microsoft.com/office/infopath/2007/PartnerControls">e162e7c5-bf32-46d2-82b5-f264b289273a</TermId>
        </TermInfo>
      </Terms>
    </gabcb1eff41b4b4092332a967995e2a8>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99D9608FED8D498BCA2801844341AD" ma:contentTypeVersion="16" ma:contentTypeDescription="Create a new document." ma:contentTypeScope="" ma:versionID="693bb6ad6d6ae34433ea7e85c1f99f8d">
  <xsd:schema xmlns:xsd="http://www.w3.org/2001/XMLSchema" xmlns:xs="http://www.w3.org/2001/XMLSchema" xmlns:p="http://schemas.microsoft.com/office/2006/metadata/properties" xmlns:ns1="http://schemas.microsoft.com/sharepoint/v3" xmlns:ns2="ef1c6b3d-2616-4020-9054-bdf2c47fde80" xmlns:ns3="898be809-5e21-4b54-881d-d8a3488368c8" targetNamespace="http://schemas.microsoft.com/office/2006/metadata/properties" ma:root="true" ma:fieldsID="d52c7734ae02ff661815f0037df4c5eb" ns1:_="" ns2:_="" ns3:_="">
    <xsd:import namespace="http://schemas.microsoft.com/sharepoint/v3"/>
    <xsd:import namespace="ef1c6b3d-2616-4020-9054-bdf2c47fde80"/>
    <xsd:import namespace="898be809-5e21-4b54-881d-d8a3488368c8"/>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3:DocHub_MeetingDate" minOccurs="0"/>
                <xsd:element ref="ns3:gabcb1eff41b4b4092332a967995e2a8"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1c6b3d-2616-4020-9054-bdf2c47fde8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dad33dd0-8c30-4cf3-ae64-570ad1bc4d6f}" ma:internalName="TaxCatchAll" ma:showField="CatchAllData" ma:web="898be809-5e21-4b54-881d-d8a3488368c8">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86c3a53-8547-45b0-a109-083f704d1385"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8be809-5e21-4b54-881d-d8a3488368c8" elementFormDefault="qualified">
    <xsd:import namespace="http://schemas.microsoft.com/office/2006/documentManagement/types"/>
    <xsd:import namespace="http://schemas.microsoft.com/office/infopath/2007/PartnerControls"/>
    <xsd:element name="DocHub_MeetingDate" ma:index="23" nillable="true" ma:displayName="Meeting Date" ma:description="Date of the meeting (DD/MM/YYYY)" ma:format="DateOnly" ma:internalName="DocHub_MeetingDate">
      <xsd:simpleType>
        <xsd:restriction base="dms:DateTime"/>
      </xsd:simpleType>
    </xsd:element>
    <xsd:element name="gabcb1eff41b4b4092332a967995e2a8" ma:index="25" nillable="true" ma:taxonomy="true" ma:internalName="gabcb1eff41b4b4092332a967995e2a8" ma:taxonomyFieldName="DocHub_WorkTopic" ma:displayName="Work Topic" ma:default="" ma:fieldId="{0abcb1ef-f41b-4b40-9233-2a967995e2a8}" ma:sspId="fb0313f7-9433-48c0-866e-9e0bbee59a50" ma:termSetId="58a2bccc-25c0-4473-9d2d-96641c2d7d3f" ma:anchorId="00000000-0000-0000-0000-000000000000" ma:open="false" ma:isKeyword="false">
      <xsd:complexType>
        <xsd:sequence>
          <xsd:element ref="pc:Terms" minOccurs="0" maxOccurs="1"/>
        </xsd:sequence>
      </xsd:complexType>
    </xsd:element>
    <xsd:element name="SharedWithUsers" ma:index="2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98AA6-7DC9-44A6-B8ED-67C5E5308609}">
  <ds:schemaRefs>
    <ds:schemaRef ds:uri="http://schemas.microsoft.com/sharepoint/events"/>
  </ds:schemaRefs>
</ds:datastoreItem>
</file>

<file path=customXml/itemProps2.xml><?xml version="1.0" encoding="utf-8"?>
<ds:datastoreItem xmlns:ds="http://schemas.openxmlformats.org/officeDocument/2006/customXml" ds:itemID="{9224615A-58BC-4F6C-B6CA-D381B8ED7AF9}">
  <ds:schemaRefs>
    <ds:schemaRef ds:uri="http://schemas.microsoft.com/office/2006/metadata/properties"/>
    <ds:schemaRef ds:uri="http://schemas.microsoft.com/office/infopath/2007/PartnerControls"/>
    <ds:schemaRef ds:uri="http://schemas.microsoft.com/sharepoint/v3"/>
    <ds:schemaRef ds:uri="ef1c6b3d-2616-4020-9054-bdf2c47fde80"/>
    <ds:schemaRef ds:uri="898be809-5e21-4b54-881d-d8a3488368c8"/>
  </ds:schemaRefs>
</ds:datastoreItem>
</file>

<file path=customXml/itemProps3.xml><?xml version="1.0" encoding="utf-8"?>
<ds:datastoreItem xmlns:ds="http://schemas.openxmlformats.org/officeDocument/2006/customXml" ds:itemID="{D73A3FEF-FEA6-4AC1-832E-BE316046E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1c6b3d-2616-4020-9054-bdf2c47fde80"/>
    <ds:schemaRef ds:uri="898be809-5e21-4b54-881d-d8a348836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CB3CA-52F8-418F-BCE9-2D6735468B09}">
  <ds:schemaRefs>
    <ds:schemaRef ds:uri="http://schemas.microsoft.com/sharepoint/v3/contenttype/forms"/>
  </ds:schemaRefs>
</ds:datastoreItem>
</file>

<file path=customXml/itemProps5.xml><?xml version="1.0" encoding="utf-8"?>
<ds:datastoreItem xmlns:ds="http://schemas.openxmlformats.org/officeDocument/2006/customXml" ds:itemID="{A7534928-CE74-47A1-AB83-8C02DBAA4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15</Pages>
  <Words>4661</Words>
  <Characters>26568</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Department of Industry, Innovation and Science</Company>
  <LinksUpToDate>false</LinksUpToDate>
  <CharactersWithSpaces>31167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Mayo, Jennifer</dc:creator>
  <cp:keywords/>
  <dc:description/>
  <cp:lastModifiedBy>Collins, Thomas</cp:lastModifiedBy>
  <cp:revision>475</cp:revision>
  <cp:lastPrinted>2019-02-06T00:42:00Z</cp:lastPrinted>
  <dcterms:created xsi:type="dcterms:W3CDTF">2019-01-11T02:23:00Z</dcterms:created>
  <dcterms:modified xsi:type="dcterms:W3CDTF">2019-04-02T01:22:00Z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Hub_Year">
    <vt:lpwstr/>
  </property>
  <property fmtid="{D5CDD505-2E9C-101B-9397-08002B2CF9AE}" pid="3" name="DocHub_DocumentType">
    <vt:lpwstr>218;#Paper|4fd73e9f-ceb6-4d3f-8d1d-e6ca9b922532</vt:lpwstr>
  </property>
  <property fmtid="{D5CDD505-2E9C-101B-9397-08002B2CF9AE}" pid="4" name="DocHub_SecurityClassification">
    <vt:lpwstr>4;#UNCLASSIFIED|6106d03b-a1a0-4e30-9d91-d5e9fb4314f9</vt:lpwstr>
  </property>
  <property fmtid="{D5CDD505-2E9C-101B-9397-08002B2CF9AE}" pid="5" name="ContentTypeId">
    <vt:lpwstr>0x010100D199D9608FED8D498BCA2801844341AD</vt:lpwstr>
  </property>
  <property fmtid="{D5CDD505-2E9C-101B-9397-08002B2CF9AE}" pid="6" name="DocHub_Keywords">
    <vt:lpwstr/>
  </property>
  <property fmtid="{D5CDD505-2E9C-101B-9397-08002B2CF9AE}" pid="7" name="DocHub_WorkActivity">
    <vt:lpwstr>471;#Engagement|70267ed8-6bd2-4b96-bc60-cce33581fb54</vt:lpwstr>
  </property>
  <property fmtid="{D5CDD505-2E9C-101B-9397-08002B2CF9AE}" pid="8" name="DocHub_WorkTopic">
    <vt:lpwstr>352;#Industry engagement|e162e7c5-bf32-46d2-82b5-f264b289273a</vt:lpwstr>
  </property>
  <property fmtid="{D5CDD505-2E9C-101B-9397-08002B2CF9AE}" pid="9" name="VersionNumber">
    <vt:i4>0</vt:i4>
  </property>
  <property fmtid="{D5CDD505-2E9C-101B-9397-08002B2CF9AE}" pid="10" name="ClassificationPty">
    <vt:lpwstr/>
  </property>
  <property fmtid="{D5CDD505-2E9C-101B-9397-08002B2CF9AE}" pid="11" name="FileNumberPty">
    <vt:lpwstr/>
  </property>
  <property fmtid="{D5CDD505-2E9C-101B-9397-08002B2CF9AE}" pid="12" name="CorporateTmplBased">
    <vt:lpwstr>No</vt:lpwstr>
  </property>
  <property fmtid="{D5CDD505-2E9C-101B-9397-08002B2CF9AE}" pid="13" name="DocHub_BriefingCorrespondenceType">
    <vt:lpwstr/>
  </property>
  <property fmtid="{D5CDD505-2E9C-101B-9397-08002B2CF9AE}" pid="14" name="_dlc_DocIdItemGuid">
    <vt:lpwstr>afc803f4-86c6-4b29-9bc0-ee235bd6f217</vt:lpwstr>
  </property>
</Properties>
</file>