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3D110D" w14:textId="77777777" w:rsidR="000246E8" w:rsidRDefault="000246E8" w:rsidP="000246E8">
      <w:pPr>
        <w:spacing w:before="480" w:after="0"/>
        <w:rPr>
          <w:szCs w:val="32"/>
          <w:lang w:val="en-US"/>
        </w:rPr>
      </w:pPr>
      <w:r>
        <w:rPr>
          <w:noProof/>
          <w:lang w:eastAsia="en-AU"/>
        </w:rPr>
        <w:drawing>
          <wp:inline distT="0" distB="0" distL="0" distR="0" wp14:anchorId="1C9545AA" wp14:editId="564F2FDA">
            <wp:extent cx="2238375" cy="709930"/>
            <wp:effectExtent l="0" t="0" r="9525" b="0"/>
            <wp:docPr id="5" name="Picture 5" descr="Crest of the Australian Government Department of Industry, Innovation and Science." title="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TCollins\AppData\Local\Microsoft\Windows\INetCache\Content.Word\DIIS.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8375" cy="709930"/>
                    </a:xfrm>
                    <a:prstGeom prst="rect">
                      <a:avLst/>
                    </a:prstGeom>
                    <a:noFill/>
                    <a:ln>
                      <a:noFill/>
                    </a:ln>
                  </pic:spPr>
                </pic:pic>
              </a:graphicData>
            </a:graphic>
          </wp:inline>
        </w:drawing>
      </w:r>
    </w:p>
    <w:p w14:paraId="53C3E0D6" w14:textId="77777777" w:rsidR="000246E8" w:rsidRDefault="000246E8" w:rsidP="000246E8">
      <w:pPr>
        <w:spacing w:before="3000" w:after="0"/>
        <w:rPr>
          <w:sz w:val="32"/>
          <w:szCs w:val="32"/>
          <w:lang w:val="en-US"/>
        </w:rPr>
      </w:pPr>
      <w:r w:rsidRPr="00E16017">
        <w:rPr>
          <w:szCs w:val="32"/>
          <w:lang w:val="en-US"/>
        </w:rPr>
        <w:t>DISCUSSION PAPER</w:t>
      </w:r>
      <w:r w:rsidRPr="00E16017">
        <w:rPr>
          <w:sz w:val="32"/>
          <w:szCs w:val="32"/>
          <w:lang w:val="en-US"/>
        </w:rPr>
        <w:t>:</w:t>
      </w:r>
    </w:p>
    <w:p w14:paraId="43C3391F" w14:textId="77777777" w:rsidR="00F27926" w:rsidRPr="00856775" w:rsidRDefault="00295053" w:rsidP="00856775">
      <w:pPr>
        <w:pStyle w:val="Title"/>
        <w:spacing w:before="120" w:after="120"/>
        <w:rPr>
          <w:b w:val="0"/>
          <w:color w:val="auto"/>
          <w:lang w:val="en-US"/>
        </w:rPr>
      </w:pPr>
      <w:r w:rsidRPr="00856775">
        <w:rPr>
          <w:b w:val="0"/>
          <w:color w:val="auto"/>
          <w:lang w:val="en-US"/>
        </w:rPr>
        <w:t>TRACEAB</w:t>
      </w:r>
      <w:r w:rsidR="00AB1E29" w:rsidRPr="00856775">
        <w:rPr>
          <w:b w:val="0"/>
          <w:color w:val="auto"/>
          <w:lang w:val="en-US"/>
        </w:rPr>
        <w:t>LE MEASUREMENT</w:t>
      </w:r>
    </w:p>
    <w:p w14:paraId="33733D8B" w14:textId="77777777" w:rsidR="00DD1D7C" w:rsidRPr="00856775" w:rsidRDefault="00DD1D7C" w:rsidP="00856775">
      <w:pPr>
        <w:spacing w:after="0" w:line="259" w:lineRule="auto"/>
        <w:rPr>
          <w:sz w:val="28"/>
          <w:szCs w:val="28"/>
          <w:lang w:val="en-US"/>
        </w:rPr>
      </w:pPr>
      <w:r w:rsidRPr="00856775">
        <w:rPr>
          <w:sz w:val="28"/>
          <w:szCs w:val="28"/>
          <w:lang w:val="en-US"/>
        </w:rPr>
        <w:t>Measurement Law Review</w:t>
      </w:r>
    </w:p>
    <w:p w14:paraId="06ADA608" w14:textId="2FE1C5EA" w:rsidR="001A2DC6" w:rsidRPr="00D1422B" w:rsidRDefault="00DD1D7C" w:rsidP="00D1422B">
      <w:pPr>
        <w:spacing w:before="240" w:after="160" w:line="259" w:lineRule="auto"/>
        <w:rPr>
          <w:lang w:val="en-US"/>
        </w:rPr>
        <w:sectPr w:rsidR="001A2DC6" w:rsidRPr="00D1422B" w:rsidSect="0088639D">
          <w:headerReference w:type="default" r:id="rId13"/>
          <w:footerReference w:type="even" r:id="rId14"/>
          <w:pgSz w:w="11906" w:h="16838"/>
          <w:pgMar w:top="1440" w:right="1440" w:bottom="1440" w:left="1440" w:header="708" w:footer="708" w:gutter="0"/>
          <w:cols w:space="708"/>
          <w:docGrid w:linePitch="360"/>
        </w:sectPr>
      </w:pPr>
      <w:r w:rsidRPr="00856775">
        <w:rPr>
          <w:sz w:val="28"/>
          <w:szCs w:val="28"/>
          <w:lang w:val="en-US"/>
        </w:rPr>
        <w:t>201</w:t>
      </w:r>
      <w:r w:rsidR="002C20E7" w:rsidRPr="00856775">
        <w:rPr>
          <w:sz w:val="28"/>
          <w:szCs w:val="28"/>
          <w:lang w:val="en-US"/>
        </w:rPr>
        <w:t>9</w:t>
      </w:r>
    </w:p>
    <w:p w14:paraId="76DB8CE4" w14:textId="77777777" w:rsidR="00856775" w:rsidRPr="004D4244" w:rsidRDefault="00856775" w:rsidP="004D4244">
      <w:pPr>
        <w:pStyle w:val="Heading1"/>
      </w:pPr>
      <w:bookmarkStart w:id="0" w:name="_Toc3461880"/>
      <w:bookmarkStart w:id="1" w:name="_Toc3468087"/>
      <w:bookmarkStart w:id="2" w:name="_Toc513454836"/>
      <w:bookmarkStart w:id="3" w:name="_Toc519856390"/>
      <w:bookmarkStart w:id="4" w:name="_Toc519857236"/>
      <w:bookmarkStart w:id="5" w:name="_Toc419991345"/>
      <w:r w:rsidRPr="004D4244">
        <w:lastRenderedPageBreak/>
        <w:t>Have your say</w:t>
      </w:r>
      <w:bookmarkEnd w:id="0"/>
      <w:bookmarkEnd w:id="1"/>
    </w:p>
    <w:p w14:paraId="5FB8FE43" w14:textId="7766AC9C" w:rsidR="00856775" w:rsidRPr="002C0412" w:rsidRDefault="00856775" w:rsidP="00856775">
      <w:pPr>
        <w:spacing w:after="360"/>
        <w:rPr>
          <w:rFonts w:eastAsia="Arial" w:cstheme="minorHAnsi"/>
          <w:lang w:val="en-GB"/>
        </w:rPr>
      </w:pPr>
      <w:r w:rsidRPr="002C0412">
        <w:rPr>
          <w:rFonts w:eastAsia="Arial" w:cstheme="minorHAnsi"/>
          <w:lang w:val="en-GB"/>
        </w:rPr>
        <w:t>The Australian Government is seeking responses to the issues and questions raised in this paper. You can submit your comments via the Department of Industry, Innovation and Scie</w:t>
      </w:r>
      <w:r w:rsidR="002B6A6B">
        <w:rPr>
          <w:rFonts w:eastAsia="Arial" w:cstheme="minorHAnsi"/>
          <w:lang w:val="en-GB"/>
        </w:rPr>
        <w:t xml:space="preserve">nce’s Consultation Hub webpage. </w:t>
      </w:r>
      <w:hyperlink r:id="rId15" w:history="1">
        <w:r w:rsidR="002B6A6B" w:rsidRPr="0029560F">
          <w:rPr>
            <w:rStyle w:val="Hyperlink"/>
            <w:rFonts w:eastAsia="Arial" w:cstheme="minorHAnsi"/>
            <w:lang w:val="en-GB"/>
          </w:rPr>
          <w:t>https://consult.in</w:t>
        </w:r>
        <w:r w:rsidR="002B6A6B" w:rsidRPr="0029560F">
          <w:rPr>
            <w:rStyle w:val="Hyperlink"/>
            <w:rFonts w:eastAsia="Arial" w:cstheme="minorHAnsi"/>
            <w:lang w:val="en-GB"/>
          </w:rPr>
          <w:t>d</w:t>
        </w:r>
        <w:r w:rsidR="002B6A6B" w:rsidRPr="0029560F">
          <w:rPr>
            <w:rStyle w:val="Hyperlink"/>
            <w:rFonts w:eastAsia="Arial" w:cstheme="minorHAnsi"/>
            <w:lang w:val="en-GB"/>
          </w:rPr>
          <w:t>ustry.gov.au/measurement-law-review/measurement-in-everyday-life</w:t>
        </w:r>
      </w:hyperlink>
    </w:p>
    <w:p w14:paraId="56FF3EDC" w14:textId="68DA69C9" w:rsidR="00856775" w:rsidRPr="002C0412" w:rsidRDefault="00856775" w:rsidP="00856775">
      <w:pPr>
        <w:rPr>
          <w:rFonts w:eastAsia="Arial" w:cstheme="minorHAnsi"/>
          <w:u w:val="dottedHeavy"/>
          <w:lang w:val="en-GB"/>
        </w:rPr>
      </w:pPr>
      <w:r w:rsidRPr="002C0412">
        <w:rPr>
          <w:rFonts w:eastAsia="Arial" w:cstheme="minorHAnsi"/>
          <w:lang w:val="en-GB"/>
        </w:rPr>
        <w:t xml:space="preserve">Australia’s measurement laws can be found on the Federal Register of Legislation </w:t>
      </w:r>
      <w:hyperlink r:id="rId16" w:tooltip="Australian Government legislation website link" w:history="1">
        <w:r w:rsidR="00D24687" w:rsidRPr="008168E2">
          <w:rPr>
            <w:rStyle w:val="Hyperlink"/>
            <w:rFonts w:eastAsia="Arial" w:cstheme="minorHAnsi"/>
            <w:lang w:val="en-GB"/>
          </w:rPr>
          <w:t>https://www.legislation.gov.au</w:t>
        </w:r>
      </w:hyperlink>
    </w:p>
    <w:p w14:paraId="191B54B1" w14:textId="77777777" w:rsidR="00856775" w:rsidRPr="002C0412" w:rsidRDefault="00856775" w:rsidP="00856775">
      <w:pPr>
        <w:rPr>
          <w:rFonts w:eastAsia="Arial" w:cstheme="minorHAnsi"/>
          <w:lang w:val="en-GB"/>
        </w:rPr>
      </w:pPr>
      <w:r w:rsidRPr="002C0412">
        <w:rPr>
          <w:rFonts w:eastAsia="Arial" w:cstheme="minorHAnsi"/>
          <w:lang w:val="en-GB"/>
        </w:rPr>
        <w:t>Submissions will be considered by the government to finalise options for reform.</w:t>
      </w:r>
    </w:p>
    <w:p w14:paraId="488CCAD0" w14:textId="56C69A0E" w:rsidR="00856775" w:rsidRPr="002C0412" w:rsidRDefault="00856775" w:rsidP="00856775">
      <w:pPr>
        <w:rPr>
          <w:rFonts w:eastAsia="Arial" w:cstheme="minorHAnsi"/>
        </w:rPr>
      </w:pPr>
      <w:r w:rsidRPr="002C0412">
        <w:rPr>
          <w:rFonts w:eastAsia="Arial" w:cstheme="minorHAnsi"/>
        </w:rPr>
        <w:t xml:space="preserve">If you have difficulties or questions, please </w:t>
      </w:r>
      <w:r w:rsidR="002B6A6B">
        <w:rPr>
          <w:rFonts w:eastAsia="Arial" w:cstheme="minorHAnsi"/>
        </w:rPr>
        <w:t xml:space="preserve">call 1300 686 664 or email </w:t>
      </w:r>
      <w:hyperlink r:id="rId17" w:history="1">
        <w:r w:rsidR="002B6A6B" w:rsidRPr="0029560F">
          <w:rPr>
            <w:rStyle w:val="Hyperlink"/>
            <w:rFonts w:eastAsia="Arial" w:cstheme="minorHAnsi"/>
          </w:rPr>
          <w:t>measurementlawreview@i</w:t>
        </w:r>
        <w:r w:rsidR="002B6A6B" w:rsidRPr="0029560F">
          <w:rPr>
            <w:rStyle w:val="Hyperlink"/>
            <w:rFonts w:eastAsia="Arial" w:cstheme="minorHAnsi"/>
          </w:rPr>
          <w:t>n</w:t>
        </w:r>
        <w:r w:rsidR="002B6A6B" w:rsidRPr="0029560F">
          <w:rPr>
            <w:rStyle w:val="Hyperlink"/>
            <w:rFonts w:eastAsia="Arial" w:cstheme="minorHAnsi"/>
          </w:rPr>
          <w:t>dustry.gov.au</w:t>
        </w:r>
      </w:hyperlink>
    </w:p>
    <w:p w14:paraId="5C4D7676" w14:textId="25F39703" w:rsidR="00856775" w:rsidRPr="002C0412" w:rsidRDefault="00856775" w:rsidP="00856775">
      <w:pPr>
        <w:rPr>
          <w:rFonts w:eastAsia="Arial" w:cstheme="minorHAnsi"/>
        </w:rPr>
      </w:pPr>
      <w:r w:rsidRPr="002C0412">
        <w:rPr>
          <w:rFonts w:eastAsia="Arial" w:cstheme="minorHAnsi"/>
        </w:rPr>
        <w:t xml:space="preserve">The closing date for submission is </w:t>
      </w:r>
      <w:r w:rsidR="00E63D3A">
        <w:rPr>
          <w:rFonts w:eastAsia="Arial" w:cstheme="minorHAnsi"/>
        </w:rPr>
        <w:t>31 May 2019</w:t>
      </w:r>
      <w:r w:rsidRPr="002C0412">
        <w:rPr>
          <w:rFonts w:eastAsia="Arial" w:cstheme="minorHAnsi"/>
        </w:rPr>
        <w:t>.</w:t>
      </w:r>
    </w:p>
    <w:p w14:paraId="3213EBC5" w14:textId="526F2812" w:rsidR="00856775" w:rsidRPr="00856775" w:rsidRDefault="00856775" w:rsidP="00856775">
      <w:pPr>
        <w:rPr>
          <w:rFonts w:eastAsia="Arial" w:cstheme="minorHAnsi"/>
          <w:lang w:val="en-GB"/>
        </w:rPr>
      </w:pPr>
      <w:r w:rsidRPr="002C0412">
        <w:rPr>
          <w:rFonts w:eastAsia="Arial" w:cstheme="minorHAnsi"/>
          <w:lang w:val="en-GB"/>
        </w:rPr>
        <w:t>Submissions received may be made public on the consultation website, unless otherwise specified. Submissions should indicate whether any part of the content should not be disclosed to the public</w:t>
      </w:r>
      <w:r>
        <w:rPr>
          <w:rFonts w:eastAsia="Arial" w:cstheme="minorHAnsi"/>
          <w:lang w:val="en-GB"/>
        </w:rPr>
        <w:t>.</w:t>
      </w:r>
    </w:p>
    <w:p w14:paraId="02A9D702" w14:textId="3018A435" w:rsidR="00E33EEC" w:rsidRPr="00856775" w:rsidRDefault="005011D6" w:rsidP="00856775">
      <w:pPr>
        <w:spacing w:after="200"/>
        <w:rPr>
          <w:rFonts w:asciiTheme="majorHAnsi" w:eastAsiaTheme="majorEastAsia" w:hAnsiTheme="majorHAnsi" w:cstheme="majorBidi"/>
          <w:b/>
          <w:bCs/>
          <w:sz w:val="28"/>
          <w:szCs w:val="28"/>
          <w:lang w:val="en-US" w:eastAsia="ja-JP"/>
        </w:rPr>
      </w:pPr>
      <w:r w:rsidRPr="00856775">
        <w:br w:type="page"/>
      </w:r>
      <w:bookmarkEnd w:id="2"/>
      <w:bookmarkEnd w:id="3"/>
      <w:bookmarkEnd w:id="4"/>
    </w:p>
    <w:bookmarkEnd w:id="5" w:displacedByCustomXml="next"/>
    <w:bookmarkStart w:id="6" w:name="_Toc526934517" w:displacedByCustomXml="next"/>
    <w:bookmarkEnd w:id="6" w:displacedByCustomXml="next"/>
    <w:bookmarkStart w:id="7" w:name="_Toc526939571" w:displacedByCustomXml="next"/>
    <w:bookmarkEnd w:id="7" w:displacedByCustomXml="next"/>
    <w:bookmarkStart w:id="8" w:name="_Toc526942679" w:displacedByCustomXml="next"/>
    <w:bookmarkEnd w:id="8" w:displacedByCustomXml="next"/>
    <w:bookmarkStart w:id="9" w:name="_Toc526942955" w:displacedByCustomXml="next"/>
    <w:bookmarkEnd w:id="9" w:displacedByCustomXml="next"/>
    <w:bookmarkStart w:id="10" w:name="_Toc527534741" w:displacedByCustomXml="next"/>
    <w:bookmarkEnd w:id="10" w:displacedByCustomXml="next"/>
    <w:bookmarkStart w:id="11" w:name="_Toc529897215" w:displacedByCustomXml="next"/>
    <w:bookmarkStart w:id="12" w:name="_Toc530140680" w:displacedByCustomXml="next"/>
    <w:bookmarkStart w:id="13" w:name="_Toc526439343" w:displacedByCustomXml="next"/>
    <w:bookmarkStart w:id="14" w:name="_Toc526439339" w:displacedByCustomXml="next"/>
    <w:sdt>
      <w:sdtPr>
        <w:rPr>
          <w:rFonts w:asciiTheme="minorHAnsi" w:eastAsiaTheme="minorHAnsi" w:hAnsiTheme="minorHAnsi" w:cstheme="minorBidi"/>
          <w:b w:val="0"/>
          <w:bCs w:val="0"/>
          <w:color w:val="auto"/>
          <w:sz w:val="20"/>
          <w:szCs w:val="22"/>
          <w:lang w:val="en-AU" w:eastAsia="en-US"/>
        </w:rPr>
        <w:id w:val="1948813178"/>
        <w:docPartObj>
          <w:docPartGallery w:val="Table of Contents"/>
          <w:docPartUnique/>
        </w:docPartObj>
      </w:sdtPr>
      <w:sdtEndPr>
        <w:rPr>
          <w:noProof/>
        </w:rPr>
      </w:sdtEndPr>
      <w:sdtContent>
        <w:p w14:paraId="5E9C4879" w14:textId="1F9C6911" w:rsidR="00C45D6D" w:rsidRDefault="00C45D6D">
          <w:pPr>
            <w:pStyle w:val="TOCHeading"/>
          </w:pPr>
          <w:r>
            <w:t>Contents</w:t>
          </w:r>
        </w:p>
        <w:p w14:paraId="0E7F1D2A" w14:textId="77777777" w:rsidR="00906CA9" w:rsidRDefault="00C45D6D">
          <w:pPr>
            <w:pStyle w:val="TOC1"/>
            <w:rPr>
              <w:rFonts w:eastAsiaTheme="minorEastAsia"/>
              <w:noProof/>
              <w:sz w:val="22"/>
              <w:lang w:eastAsia="en-AU"/>
            </w:rPr>
          </w:pPr>
          <w:r>
            <w:rPr>
              <w:b/>
              <w:bCs/>
              <w:noProof/>
            </w:rPr>
            <w:fldChar w:fldCharType="begin"/>
          </w:r>
          <w:r>
            <w:rPr>
              <w:b/>
              <w:bCs/>
              <w:noProof/>
            </w:rPr>
            <w:instrText xml:space="preserve"> TOC \o "1-4" \h \z \u </w:instrText>
          </w:r>
          <w:r>
            <w:rPr>
              <w:b/>
              <w:bCs/>
              <w:noProof/>
            </w:rPr>
            <w:fldChar w:fldCharType="separate"/>
          </w:r>
          <w:hyperlink w:anchor="_Toc3468087" w:history="1">
            <w:r w:rsidR="00906CA9" w:rsidRPr="00814B77">
              <w:rPr>
                <w:rStyle w:val="Hyperlink"/>
                <w:noProof/>
              </w:rPr>
              <w:t>Have your say</w:t>
            </w:r>
            <w:r w:rsidR="00906CA9">
              <w:rPr>
                <w:noProof/>
                <w:webHidden/>
              </w:rPr>
              <w:tab/>
            </w:r>
            <w:r w:rsidR="00906CA9">
              <w:rPr>
                <w:noProof/>
                <w:webHidden/>
              </w:rPr>
              <w:fldChar w:fldCharType="begin"/>
            </w:r>
            <w:r w:rsidR="00906CA9">
              <w:rPr>
                <w:noProof/>
                <w:webHidden/>
              </w:rPr>
              <w:instrText xml:space="preserve"> PAGEREF _Toc3468087 \h </w:instrText>
            </w:r>
            <w:r w:rsidR="00906CA9">
              <w:rPr>
                <w:noProof/>
                <w:webHidden/>
              </w:rPr>
            </w:r>
            <w:r w:rsidR="00906CA9">
              <w:rPr>
                <w:noProof/>
                <w:webHidden/>
              </w:rPr>
              <w:fldChar w:fldCharType="separate"/>
            </w:r>
            <w:r w:rsidR="00906CA9">
              <w:rPr>
                <w:noProof/>
                <w:webHidden/>
              </w:rPr>
              <w:t>2</w:t>
            </w:r>
            <w:r w:rsidR="00906CA9">
              <w:rPr>
                <w:noProof/>
                <w:webHidden/>
              </w:rPr>
              <w:fldChar w:fldCharType="end"/>
            </w:r>
          </w:hyperlink>
        </w:p>
        <w:p w14:paraId="3D8E7A52" w14:textId="192BAF40" w:rsidR="00906CA9" w:rsidRDefault="00B53FBB">
          <w:pPr>
            <w:pStyle w:val="TOC1"/>
            <w:tabs>
              <w:tab w:val="left" w:pos="600"/>
            </w:tabs>
            <w:rPr>
              <w:rFonts w:eastAsiaTheme="minorEastAsia"/>
              <w:noProof/>
              <w:sz w:val="22"/>
              <w:lang w:eastAsia="en-AU"/>
            </w:rPr>
          </w:pPr>
          <w:hyperlink w:anchor="_Toc3468088" w:history="1">
            <w:r w:rsidR="00906CA9" w:rsidRPr="00814B77">
              <w:rPr>
                <w:rStyle w:val="Hyperlink"/>
                <w:noProof/>
              </w:rPr>
              <w:t>1.</w:t>
            </w:r>
            <w:r w:rsidR="00906CA9">
              <w:rPr>
                <w:rFonts w:eastAsiaTheme="minorEastAsia"/>
                <w:noProof/>
                <w:sz w:val="22"/>
                <w:lang w:eastAsia="en-AU"/>
              </w:rPr>
              <w:t xml:space="preserve"> </w:t>
            </w:r>
            <w:r w:rsidR="00906CA9" w:rsidRPr="00814B77">
              <w:rPr>
                <w:rStyle w:val="Hyperlink"/>
                <w:noProof/>
              </w:rPr>
              <w:t>Overview</w:t>
            </w:r>
            <w:r w:rsidR="00906CA9">
              <w:rPr>
                <w:noProof/>
                <w:webHidden/>
              </w:rPr>
              <w:tab/>
            </w:r>
            <w:r w:rsidR="00906CA9">
              <w:rPr>
                <w:noProof/>
                <w:webHidden/>
              </w:rPr>
              <w:fldChar w:fldCharType="begin"/>
            </w:r>
            <w:r w:rsidR="00906CA9">
              <w:rPr>
                <w:noProof/>
                <w:webHidden/>
              </w:rPr>
              <w:instrText xml:space="preserve"> PAGEREF _Toc3468088 \h </w:instrText>
            </w:r>
            <w:r w:rsidR="00906CA9">
              <w:rPr>
                <w:noProof/>
                <w:webHidden/>
              </w:rPr>
            </w:r>
            <w:r w:rsidR="00906CA9">
              <w:rPr>
                <w:noProof/>
                <w:webHidden/>
              </w:rPr>
              <w:fldChar w:fldCharType="separate"/>
            </w:r>
            <w:r w:rsidR="00906CA9">
              <w:rPr>
                <w:noProof/>
                <w:webHidden/>
              </w:rPr>
              <w:t>4</w:t>
            </w:r>
            <w:r w:rsidR="00906CA9">
              <w:rPr>
                <w:noProof/>
                <w:webHidden/>
              </w:rPr>
              <w:fldChar w:fldCharType="end"/>
            </w:r>
          </w:hyperlink>
        </w:p>
        <w:p w14:paraId="1DF7801F" w14:textId="77777777" w:rsidR="00906CA9" w:rsidRDefault="00B53FBB">
          <w:pPr>
            <w:pStyle w:val="TOC2"/>
            <w:rPr>
              <w:rFonts w:eastAsiaTheme="minorEastAsia"/>
              <w:noProof/>
              <w:color w:val="auto"/>
              <w:sz w:val="22"/>
              <w:lang w:eastAsia="en-AU"/>
            </w:rPr>
          </w:pPr>
          <w:hyperlink w:anchor="_Toc3468089" w:history="1">
            <w:r w:rsidR="00906CA9" w:rsidRPr="00814B77">
              <w:rPr>
                <w:rStyle w:val="Hyperlink"/>
                <w:noProof/>
              </w:rPr>
              <w:t>1.1 The Measurement Law Review (The Review)</w:t>
            </w:r>
            <w:r w:rsidR="00906CA9">
              <w:rPr>
                <w:noProof/>
                <w:webHidden/>
              </w:rPr>
              <w:tab/>
            </w:r>
            <w:r w:rsidR="00906CA9">
              <w:rPr>
                <w:noProof/>
                <w:webHidden/>
              </w:rPr>
              <w:fldChar w:fldCharType="begin"/>
            </w:r>
            <w:r w:rsidR="00906CA9">
              <w:rPr>
                <w:noProof/>
                <w:webHidden/>
              </w:rPr>
              <w:instrText xml:space="preserve"> PAGEREF _Toc3468089 \h </w:instrText>
            </w:r>
            <w:r w:rsidR="00906CA9">
              <w:rPr>
                <w:noProof/>
                <w:webHidden/>
              </w:rPr>
            </w:r>
            <w:r w:rsidR="00906CA9">
              <w:rPr>
                <w:noProof/>
                <w:webHidden/>
              </w:rPr>
              <w:fldChar w:fldCharType="separate"/>
            </w:r>
            <w:r w:rsidR="00906CA9">
              <w:rPr>
                <w:noProof/>
                <w:webHidden/>
              </w:rPr>
              <w:t>4</w:t>
            </w:r>
            <w:r w:rsidR="00906CA9">
              <w:rPr>
                <w:noProof/>
                <w:webHidden/>
              </w:rPr>
              <w:fldChar w:fldCharType="end"/>
            </w:r>
          </w:hyperlink>
        </w:p>
        <w:p w14:paraId="3AFAE10E" w14:textId="77777777" w:rsidR="00906CA9" w:rsidRDefault="00B53FBB">
          <w:pPr>
            <w:pStyle w:val="TOC2"/>
            <w:rPr>
              <w:rFonts w:eastAsiaTheme="minorEastAsia"/>
              <w:noProof/>
              <w:color w:val="auto"/>
              <w:sz w:val="22"/>
              <w:lang w:eastAsia="en-AU"/>
            </w:rPr>
          </w:pPr>
          <w:hyperlink w:anchor="_Toc3468090" w:history="1">
            <w:r w:rsidR="00906CA9" w:rsidRPr="00814B77">
              <w:rPr>
                <w:rStyle w:val="Hyperlink"/>
                <w:noProof/>
              </w:rPr>
              <w:t>1.2 This Discussion Paper</w:t>
            </w:r>
            <w:r w:rsidR="00906CA9">
              <w:rPr>
                <w:noProof/>
                <w:webHidden/>
              </w:rPr>
              <w:tab/>
            </w:r>
            <w:r w:rsidR="00906CA9">
              <w:rPr>
                <w:noProof/>
                <w:webHidden/>
              </w:rPr>
              <w:fldChar w:fldCharType="begin"/>
            </w:r>
            <w:r w:rsidR="00906CA9">
              <w:rPr>
                <w:noProof/>
                <w:webHidden/>
              </w:rPr>
              <w:instrText xml:space="preserve"> PAGEREF _Toc3468090 \h </w:instrText>
            </w:r>
            <w:r w:rsidR="00906CA9">
              <w:rPr>
                <w:noProof/>
                <w:webHidden/>
              </w:rPr>
            </w:r>
            <w:r w:rsidR="00906CA9">
              <w:rPr>
                <w:noProof/>
                <w:webHidden/>
              </w:rPr>
              <w:fldChar w:fldCharType="separate"/>
            </w:r>
            <w:r w:rsidR="00906CA9">
              <w:rPr>
                <w:noProof/>
                <w:webHidden/>
              </w:rPr>
              <w:t>4</w:t>
            </w:r>
            <w:r w:rsidR="00906CA9">
              <w:rPr>
                <w:noProof/>
                <w:webHidden/>
              </w:rPr>
              <w:fldChar w:fldCharType="end"/>
            </w:r>
          </w:hyperlink>
        </w:p>
        <w:p w14:paraId="4598ADFA" w14:textId="77777777" w:rsidR="00906CA9" w:rsidRDefault="00B53FBB">
          <w:pPr>
            <w:pStyle w:val="TOC1"/>
            <w:rPr>
              <w:rFonts w:eastAsiaTheme="minorEastAsia"/>
              <w:noProof/>
              <w:sz w:val="22"/>
              <w:lang w:eastAsia="en-AU"/>
            </w:rPr>
          </w:pPr>
          <w:hyperlink w:anchor="_Toc3468091" w:history="1">
            <w:r w:rsidR="00906CA9" w:rsidRPr="00814B77">
              <w:rPr>
                <w:rStyle w:val="Hyperlink"/>
                <w:noProof/>
              </w:rPr>
              <w:t>2. Traceable measurement</w:t>
            </w:r>
            <w:r w:rsidR="00906CA9">
              <w:rPr>
                <w:noProof/>
                <w:webHidden/>
              </w:rPr>
              <w:tab/>
            </w:r>
            <w:r w:rsidR="00906CA9">
              <w:rPr>
                <w:noProof/>
                <w:webHidden/>
              </w:rPr>
              <w:fldChar w:fldCharType="begin"/>
            </w:r>
            <w:r w:rsidR="00906CA9">
              <w:rPr>
                <w:noProof/>
                <w:webHidden/>
              </w:rPr>
              <w:instrText xml:space="preserve"> PAGEREF _Toc3468091 \h </w:instrText>
            </w:r>
            <w:r w:rsidR="00906CA9">
              <w:rPr>
                <w:noProof/>
                <w:webHidden/>
              </w:rPr>
            </w:r>
            <w:r w:rsidR="00906CA9">
              <w:rPr>
                <w:noProof/>
                <w:webHidden/>
              </w:rPr>
              <w:fldChar w:fldCharType="separate"/>
            </w:r>
            <w:r w:rsidR="00906CA9">
              <w:rPr>
                <w:noProof/>
                <w:webHidden/>
              </w:rPr>
              <w:t>6</w:t>
            </w:r>
            <w:r w:rsidR="00906CA9">
              <w:rPr>
                <w:noProof/>
                <w:webHidden/>
              </w:rPr>
              <w:fldChar w:fldCharType="end"/>
            </w:r>
          </w:hyperlink>
        </w:p>
        <w:p w14:paraId="0D572C23" w14:textId="77777777" w:rsidR="00906CA9" w:rsidRDefault="00B53FBB">
          <w:pPr>
            <w:pStyle w:val="TOC1"/>
            <w:rPr>
              <w:rFonts w:eastAsiaTheme="minorEastAsia"/>
              <w:noProof/>
              <w:sz w:val="22"/>
              <w:lang w:eastAsia="en-AU"/>
            </w:rPr>
          </w:pPr>
          <w:hyperlink w:anchor="_Toc3468092" w:history="1">
            <w:r w:rsidR="00906CA9" w:rsidRPr="00814B77">
              <w:rPr>
                <w:rStyle w:val="Hyperlink"/>
                <w:noProof/>
              </w:rPr>
              <w:t>3. Legal measurement system</w:t>
            </w:r>
            <w:r w:rsidR="00906CA9">
              <w:rPr>
                <w:noProof/>
                <w:webHidden/>
              </w:rPr>
              <w:tab/>
            </w:r>
            <w:r w:rsidR="00906CA9">
              <w:rPr>
                <w:noProof/>
                <w:webHidden/>
              </w:rPr>
              <w:fldChar w:fldCharType="begin"/>
            </w:r>
            <w:r w:rsidR="00906CA9">
              <w:rPr>
                <w:noProof/>
                <w:webHidden/>
              </w:rPr>
              <w:instrText xml:space="preserve"> PAGEREF _Toc3468092 \h </w:instrText>
            </w:r>
            <w:r w:rsidR="00906CA9">
              <w:rPr>
                <w:noProof/>
                <w:webHidden/>
              </w:rPr>
            </w:r>
            <w:r w:rsidR="00906CA9">
              <w:rPr>
                <w:noProof/>
                <w:webHidden/>
              </w:rPr>
              <w:fldChar w:fldCharType="separate"/>
            </w:r>
            <w:r w:rsidR="00906CA9">
              <w:rPr>
                <w:noProof/>
                <w:webHidden/>
              </w:rPr>
              <w:t>8</w:t>
            </w:r>
            <w:r w:rsidR="00906CA9">
              <w:rPr>
                <w:noProof/>
                <w:webHidden/>
              </w:rPr>
              <w:fldChar w:fldCharType="end"/>
            </w:r>
          </w:hyperlink>
        </w:p>
        <w:p w14:paraId="6444E5CC" w14:textId="77777777" w:rsidR="00906CA9" w:rsidRDefault="00B53FBB">
          <w:pPr>
            <w:pStyle w:val="TOC2"/>
            <w:rPr>
              <w:rFonts w:eastAsiaTheme="minorEastAsia"/>
              <w:noProof/>
              <w:color w:val="auto"/>
              <w:sz w:val="22"/>
              <w:lang w:eastAsia="en-AU"/>
            </w:rPr>
          </w:pPr>
          <w:hyperlink w:anchor="_Toc3468093" w:history="1">
            <w:r w:rsidR="00906CA9" w:rsidRPr="00814B77">
              <w:rPr>
                <w:rStyle w:val="Hyperlink"/>
                <w:noProof/>
              </w:rPr>
              <w:t>3.1 Current approach</w:t>
            </w:r>
            <w:r w:rsidR="00906CA9">
              <w:rPr>
                <w:noProof/>
                <w:webHidden/>
              </w:rPr>
              <w:tab/>
            </w:r>
            <w:r w:rsidR="00906CA9">
              <w:rPr>
                <w:noProof/>
                <w:webHidden/>
              </w:rPr>
              <w:fldChar w:fldCharType="begin"/>
            </w:r>
            <w:r w:rsidR="00906CA9">
              <w:rPr>
                <w:noProof/>
                <w:webHidden/>
              </w:rPr>
              <w:instrText xml:space="preserve"> PAGEREF _Toc3468093 \h </w:instrText>
            </w:r>
            <w:r w:rsidR="00906CA9">
              <w:rPr>
                <w:noProof/>
                <w:webHidden/>
              </w:rPr>
            </w:r>
            <w:r w:rsidR="00906CA9">
              <w:rPr>
                <w:noProof/>
                <w:webHidden/>
              </w:rPr>
              <w:fldChar w:fldCharType="separate"/>
            </w:r>
            <w:r w:rsidR="00906CA9">
              <w:rPr>
                <w:noProof/>
                <w:webHidden/>
              </w:rPr>
              <w:t>8</w:t>
            </w:r>
            <w:r w:rsidR="00906CA9">
              <w:rPr>
                <w:noProof/>
                <w:webHidden/>
              </w:rPr>
              <w:fldChar w:fldCharType="end"/>
            </w:r>
          </w:hyperlink>
        </w:p>
        <w:p w14:paraId="4230ADF5" w14:textId="77777777" w:rsidR="00906CA9" w:rsidRDefault="00B53FBB">
          <w:pPr>
            <w:pStyle w:val="TOC2"/>
            <w:rPr>
              <w:rFonts w:eastAsiaTheme="minorEastAsia"/>
              <w:noProof/>
              <w:color w:val="auto"/>
              <w:sz w:val="22"/>
              <w:lang w:eastAsia="en-AU"/>
            </w:rPr>
          </w:pPr>
          <w:hyperlink w:anchor="_Toc3468094" w:history="1">
            <w:r w:rsidR="00906CA9" w:rsidRPr="00814B77">
              <w:rPr>
                <w:rStyle w:val="Hyperlink"/>
                <w:noProof/>
              </w:rPr>
              <w:t>3.2. Issues and questions</w:t>
            </w:r>
            <w:r w:rsidR="00906CA9">
              <w:rPr>
                <w:noProof/>
                <w:webHidden/>
              </w:rPr>
              <w:tab/>
            </w:r>
            <w:r w:rsidR="00906CA9">
              <w:rPr>
                <w:noProof/>
                <w:webHidden/>
              </w:rPr>
              <w:fldChar w:fldCharType="begin"/>
            </w:r>
            <w:r w:rsidR="00906CA9">
              <w:rPr>
                <w:noProof/>
                <w:webHidden/>
              </w:rPr>
              <w:instrText xml:space="preserve"> PAGEREF _Toc3468094 \h </w:instrText>
            </w:r>
            <w:r w:rsidR="00906CA9">
              <w:rPr>
                <w:noProof/>
                <w:webHidden/>
              </w:rPr>
            </w:r>
            <w:r w:rsidR="00906CA9">
              <w:rPr>
                <w:noProof/>
                <w:webHidden/>
              </w:rPr>
              <w:fldChar w:fldCharType="separate"/>
            </w:r>
            <w:r w:rsidR="00906CA9">
              <w:rPr>
                <w:noProof/>
                <w:webHidden/>
              </w:rPr>
              <w:t>9</w:t>
            </w:r>
            <w:r w:rsidR="00906CA9">
              <w:rPr>
                <w:noProof/>
                <w:webHidden/>
              </w:rPr>
              <w:fldChar w:fldCharType="end"/>
            </w:r>
          </w:hyperlink>
        </w:p>
        <w:p w14:paraId="608E6A97" w14:textId="77777777" w:rsidR="00906CA9" w:rsidRDefault="00B53FBB">
          <w:pPr>
            <w:pStyle w:val="TOC1"/>
            <w:rPr>
              <w:rFonts w:eastAsiaTheme="minorEastAsia"/>
              <w:noProof/>
              <w:sz w:val="22"/>
              <w:lang w:eastAsia="en-AU"/>
            </w:rPr>
          </w:pPr>
          <w:hyperlink w:anchor="_Toc3468095" w:history="1">
            <w:r w:rsidR="00906CA9" w:rsidRPr="00814B77">
              <w:rPr>
                <w:rStyle w:val="Hyperlink"/>
                <w:noProof/>
              </w:rPr>
              <w:t>4. Traceable measurement of physical quantities</w:t>
            </w:r>
            <w:r w:rsidR="00906CA9">
              <w:rPr>
                <w:noProof/>
                <w:webHidden/>
              </w:rPr>
              <w:tab/>
            </w:r>
            <w:r w:rsidR="00906CA9">
              <w:rPr>
                <w:noProof/>
                <w:webHidden/>
              </w:rPr>
              <w:fldChar w:fldCharType="begin"/>
            </w:r>
            <w:r w:rsidR="00906CA9">
              <w:rPr>
                <w:noProof/>
                <w:webHidden/>
              </w:rPr>
              <w:instrText xml:space="preserve"> PAGEREF _Toc3468095 \h </w:instrText>
            </w:r>
            <w:r w:rsidR="00906CA9">
              <w:rPr>
                <w:noProof/>
                <w:webHidden/>
              </w:rPr>
            </w:r>
            <w:r w:rsidR="00906CA9">
              <w:rPr>
                <w:noProof/>
                <w:webHidden/>
              </w:rPr>
              <w:fldChar w:fldCharType="separate"/>
            </w:r>
            <w:r w:rsidR="00906CA9">
              <w:rPr>
                <w:noProof/>
                <w:webHidden/>
              </w:rPr>
              <w:t>11</w:t>
            </w:r>
            <w:r w:rsidR="00906CA9">
              <w:rPr>
                <w:noProof/>
                <w:webHidden/>
              </w:rPr>
              <w:fldChar w:fldCharType="end"/>
            </w:r>
          </w:hyperlink>
        </w:p>
        <w:p w14:paraId="529C13D9" w14:textId="77777777" w:rsidR="00906CA9" w:rsidRDefault="00B53FBB">
          <w:pPr>
            <w:pStyle w:val="TOC2"/>
            <w:rPr>
              <w:rFonts w:eastAsiaTheme="minorEastAsia"/>
              <w:noProof/>
              <w:color w:val="auto"/>
              <w:sz w:val="22"/>
              <w:lang w:eastAsia="en-AU"/>
            </w:rPr>
          </w:pPr>
          <w:hyperlink w:anchor="_Toc3468096" w:history="1">
            <w:r w:rsidR="00906CA9" w:rsidRPr="00814B77">
              <w:rPr>
                <w:rStyle w:val="Hyperlink"/>
                <w:noProof/>
              </w:rPr>
              <w:t>4.1 Current approach</w:t>
            </w:r>
            <w:r w:rsidR="00906CA9">
              <w:rPr>
                <w:noProof/>
                <w:webHidden/>
              </w:rPr>
              <w:tab/>
            </w:r>
            <w:r w:rsidR="00906CA9">
              <w:rPr>
                <w:noProof/>
                <w:webHidden/>
              </w:rPr>
              <w:fldChar w:fldCharType="begin"/>
            </w:r>
            <w:r w:rsidR="00906CA9">
              <w:rPr>
                <w:noProof/>
                <w:webHidden/>
              </w:rPr>
              <w:instrText xml:space="preserve"> PAGEREF _Toc3468096 \h </w:instrText>
            </w:r>
            <w:r w:rsidR="00906CA9">
              <w:rPr>
                <w:noProof/>
                <w:webHidden/>
              </w:rPr>
            </w:r>
            <w:r w:rsidR="00906CA9">
              <w:rPr>
                <w:noProof/>
                <w:webHidden/>
              </w:rPr>
              <w:fldChar w:fldCharType="separate"/>
            </w:r>
            <w:r w:rsidR="00906CA9">
              <w:rPr>
                <w:noProof/>
                <w:webHidden/>
              </w:rPr>
              <w:t>11</w:t>
            </w:r>
            <w:r w:rsidR="00906CA9">
              <w:rPr>
                <w:noProof/>
                <w:webHidden/>
              </w:rPr>
              <w:fldChar w:fldCharType="end"/>
            </w:r>
          </w:hyperlink>
        </w:p>
        <w:p w14:paraId="48B24260" w14:textId="77777777" w:rsidR="00906CA9" w:rsidRDefault="00B53FBB">
          <w:pPr>
            <w:pStyle w:val="TOC2"/>
            <w:rPr>
              <w:rFonts w:eastAsiaTheme="minorEastAsia"/>
              <w:noProof/>
              <w:color w:val="auto"/>
              <w:sz w:val="22"/>
              <w:lang w:eastAsia="en-AU"/>
            </w:rPr>
          </w:pPr>
          <w:hyperlink w:anchor="_Toc3468097" w:history="1">
            <w:r w:rsidR="00906CA9" w:rsidRPr="00814B77">
              <w:rPr>
                <w:rStyle w:val="Hyperlink"/>
                <w:noProof/>
              </w:rPr>
              <w:t>4.2 Issues and questions:</w:t>
            </w:r>
            <w:r w:rsidR="00906CA9">
              <w:rPr>
                <w:noProof/>
                <w:webHidden/>
              </w:rPr>
              <w:tab/>
            </w:r>
            <w:r w:rsidR="00906CA9">
              <w:rPr>
                <w:noProof/>
                <w:webHidden/>
              </w:rPr>
              <w:fldChar w:fldCharType="begin"/>
            </w:r>
            <w:r w:rsidR="00906CA9">
              <w:rPr>
                <w:noProof/>
                <w:webHidden/>
              </w:rPr>
              <w:instrText xml:space="preserve"> PAGEREF _Toc3468097 \h </w:instrText>
            </w:r>
            <w:r w:rsidR="00906CA9">
              <w:rPr>
                <w:noProof/>
                <w:webHidden/>
              </w:rPr>
            </w:r>
            <w:r w:rsidR="00906CA9">
              <w:rPr>
                <w:noProof/>
                <w:webHidden/>
              </w:rPr>
              <w:fldChar w:fldCharType="separate"/>
            </w:r>
            <w:r w:rsidR="00906CA9">
              <w:rPr>
                <w:noProof/>
                <w:webHidden/>
              </w:rPr>
              <w:t>12</w:t>
            </w:r>
            <w:r w:rsidR="00906CA9">
              <w:rPr>
                <w:noProof/>
                <w:webHidden/>
              </w:rPr>
              <w:fldChar w:fldCharType="end"/>
            </w:r>
          </w:hyperlink>
        </w:p>
        <w:p w14:paraId="79A92ED8" w14:textId="77777777" w:rsidR="00906CA9" w:rsidRDefault="00B53FBB">
          <w:pPr>
            <w:pStyle w:val="TOC1"/>
            <w:rPr>
              <w:rFonts w:eastAsiaTheme="minorEastAsia"/>
              <w:noProof/>
              <w:sz w:val="22"/>
              <w:lang w:eastAsia="en-AU"/>
            </w:rPr>
          </w:pPr>
          <w:hyperlink w:anchor="_Toc3468098" w:history="1">
            <w:r w:rsidR="00906CA9" w:rsidRPr="00814B77">
              <w:rPr>
                <w:rStyle w:val="Hyperlink"/>
                <w:noProof/>
              </w:rPr>
              <w:t>5. Traceable measurement of chemical and biological quantities</w:t>
            </w:r>
            <w:r w:rsidR="00906CA9">
              <w:rPr>
                <w:noProof/>
                <w:webHidden/>
              </w:rPr>
              <w:tab/>
            </w:r>
            <w:r w:rsidR="00906CA9">
              <w:rPr>
                <w:noProof/>
                <w:webHidden/>
              </w:rPr>
              <w:fldChar w:fldCharType="begin"/>
            </w:r>
            <w:r w:rsidR="00906CA9">
              <w:rPr>
                <w:noProof/>
                <w:webHidden/>
              </w:rPr>
              <w:instrText xml:space="preserve"> PAGEREF _Toc3468098 \h </w:instrText>
            </w:r>
            <w:r w:rsidR="00906CA9">
              <w:rPr>
                <w:noProof/>
                <w:webHidden/>
              </w:rPr>
            </w:r>
            <w:r w:rsidR="00906CA9">
              <w:rPr>
                <w:noProof/>
                <w:webHidden/>
              </w:rPr>
              <w:fldChar w:fldCharType="separate"/>
            </w:r>
            <w:r w:rsidR="00906CA9">
              <w:rPr>
                <w:noProof/>
                <w:webHidden/>
              </w:rPr>
              <w:t>15</w:t>
            </w:r>
            <w:r w:rsidR="00906CA9">
              <w:rPr>
                <w:noProof/>
                <w:webHidden/>
              </w:rPr>
              <w:fldChar w:fldCharType="end"/>
            </w:r>
          </w:hyperlink>
        </w:p>
        <w:p w14:paraId="6A7709BB" w14:textId="77777777" w:rsidR="00906CA9" w:rsidRDefault="00B53FBB">
          <w:pPr>
            <w:pStyle w:val="TOC2"/>
            <w:rPr>
              <w:rFonts w:eastAsiaTheme="minorEastAsia"/>
              <w:noProof/>
              <w:color w:val="auto"/>
              <w:sz w:val="22"/>
              <w:lang w:eastAsia="en-AU"/>
            </w:rPr>
          </w:pPr>
          <w:hyperlink w:anchor="_Toc3468099" w:history="1">
            <w:r w:rsidR="00906CA9" w:rsidRPr="00814B77">
              <w:rPr>
                <w:rStyle w:val="Hyperlink"/>
                <w:noProof/>
              </w:rPr>
              <w:t>5.1 Current Approach</w:t>
            </w:r>
            <w:r w:rsidR="00906CA9">
              <w:rPr>
                <w:noProof/>
                <w:webHidden/>
              </w:rPr>
              <w:tab/>
            </w:r>
            <w:r w:rsidR="00906CA9">
              <w:rPr>
                <w:noProof/>
                <w:webHidden/>
              </w:rPr>
              <w:fldChar w:fldCharType="begin"/>
            </w:r>
            <w:r w:rsidR="00906CA9">
              <w:rPr>
                <w:noProof/>
                <w:webHidden/>
              </w:rPr>
              <w:instrText xml:space="preserve"> PAGEREF _Toc3468099 \h </w:instrText>
            </w:r>
            <w:r w:rsidR="00906CA9">
              <w:rPr>
                <w:noProof/>
                <w:webHidden/>
              </w:rPr>
            </w:r>
            <w:r w:rsidR="00906CA9">
              <w:rPr>
                <w:noProof/>
                <w:webHidden/>
              </w:rPr>
              <w:fldChar w:fldCharType="separate"/>
            </w:r>
            <w:r w:rsidR="00906CA9">
              <w:rPr>
                <w:noProof/>
                <w:webHidden/>
              </w:rPr>
              <w:t>15</w:t>
            </w:r>
            <w:r w:rsidR="00906CA9">
              <w:rPr>
                <w:noProof/>
                <w:webHidden/>
              </w:rPr>
              <w:fldChar w:fldCharType="end"/>
            </w:r>
          </w:hyperlink>
        </w:p>
        <w:p w14:paraId="73BD2F1C" w14:textId="77777777" w:rsidR="00906CA9" w:rsidRDefault="00B53FBB">
          <w:pPr>
            <w:pStyle w:val="TOC2"/>
            <w:rPr>
              <w:rFonts w:eastAsiaTheme="minorEastAsia"/>
              <w:noProof/>
              <w:color w:val="auto"/>
              <w:sz w:val="22"/>
              <w:lang w:eastAsia="en-AU"/>
            </w:rPr>
          </w:pPr>
          <w:hyperlink w:anchor="_Toc3468100" w:history="1">
            <w:r w:rsidR="00906CA9" w:rsidRPr="00814B77">
              <w:rPr>
                <w:rStyle w:val="Hyperlink"/>
                <w:noProof/>
              </w:rPr>
              <w:t>5.2 Issues and questions</w:t>
            </w:r>
            <w:r w:rsidR="00906CA9">
              <w:rPr>
                <w:noProof/>
                <w:webHidden/>
              </w:rPr>
              <w:tab/>
            </w:r>
            <w:r w:rsidR="00906CA9">
              <w:rPr>
                <w:noProof/>
                <w:webHidden/>
              </w:rPr>
              <w:fldChar w:fldCharType="begin"/>
            </w:r>
            <w:r w:rsidR="00906CA9">
              <w:rPr>
                <w:noProof/>
                <w:webHidden/>
              </w:rPr>
              <w:instrText xml:space="preserve"> PAGEREF _Toc3468100 \h </w:instrText>
            </w:r>
            <w:r w:rsidR="00906CA9">
              <w:rPr>
                <w:noProof/>
                <w:webHidden/>
              </w:rPr>
            </w:r>
            <w:r w:rsidR="00906CA9">
              <w:rPr>
                <w:noProof/>
                <w:webHidden/>
              </w:rPr>
              <w:fldChar w:fldCharType="separate"/>
            </w:r>
            <w:r w:rsidR="00906CA9">
              <w:rPr>
                <w:noProof/>
                <w:webHidden/>
              </w:rPr>
              <w:t>16</w:t>
            </w:r>
            <w:r w:rsidR="00906CA9">
              <w:rPr>
                <w:noProof/>
                <w:webHidden/>
              </w:rPr>
              <w:fldChar w:fldCharType="end"/>
            </w:r>
          </w:hyperlink>
        </w:p>
        <w:p w14:paraId="2C952452" w14:textId="5124028C" w:rsidR="00C45D6D" w:rsidRDefault="00C45D6D">
          <w:r>
            <w:rPr>
              <w:b/>
              <w:bCs/>
              <w:noProof/>
              <w:sz w:val="24"/>
            </w:rPr>
            <w:fldChar w:fldCharType="end"/>
          </w:r>
        </w:p>
      </w:sdtContent>
    </w:sdt>
    <w:p w14:paraId="4B6A4F8A" w14:textId="77777777" w:rsidR="00906CA9" w:rsidRPr="00906CA9" w:rsidRDefault="00906CA9" w:rsidP="00906CA9">
      <w:bookmarkStart w:id="15" w:name="_Toc868496"/>
      <w:bookmarkEnd w:id="15"/>
      <w:bookmarkEnd w:id="12"/>
      <w:bookmarkEnd w:id="11"/>
    </w:p>
    <w:p w14:paraId="15156A0B" w14:textId="77777777" w:rsidR="00906CA9" w:rsidRPr="00906CA9" w:rsidRDefault="00906CA9" w:rsidP="00906CA9">
      <w:r w:rsidRPr="00906CA9">
        <w:br w:type="page"/>
      </w:r>
    </w:p>
    <w:p w14:paraId="50160F6E" w14:textId="5708CB27" w:rsidR="008C498C" w:rsidRPr="00DE76D7" w:rsidRDefault="00906CA9" w:rsidP="0059566C">
      <w:pPr>
        <w:pStyle w:val="Heading1"/>
        <w:numPr>
          <w:ilvl w:val="0"/>
          <w:numId w:val="16"/>
        </w:numPr>
      </w:pPr>
      <w:bookmarkStart w:id="16" w:name="_Toc3468088"/>
      <w:r>
        <w:lastRenderedPageBreak/>
        <w:t>Overview</w:t>
      </w:r>
      <w:bookmarkEnd w:id="16"/>
    </w:p>
    <w:p w14:paraId="12EBC32C" w14:textId="55D04843" w:rsidR="00623BB2" w:rsidRPr="00623BB2" w:rsidRDefault="00CB7ED0" w:rsidP="00623BB2">
      <w:pPr>
        <w:rPr>
          <w:rFonts w:eastAsia="Times New Roman" w:cs="Times New Roman"/>
        </w:rPr>
      </w:pPr>
      <w:bookmarkStart w:id="17" w:name="_Toc526856609"/>
      <w:bookmarkStart w:id="18" w:name="_Toc526858112"/>
      <w:bookmarkStart w:id="19" w:name="_Toc526858198"/>
      <w:bookmarkStart w:id="20" w:name="_Toc526890810"/>
      <w:bookmarkStart w:id="21" w:name="_Toc526927991"/>
      <w:bookmarkStart w:id="22" w:name="_Toc526928022"/>
      <w:bookmarkStart w:id="23" w:name="_Toc526928171"/>
      <w:bookmarkStart w:id="24" w:name="_Toc526928210"/>
      <w:bookmarkStart w:id="25" w:name="_Toc526928263"/>
      <w:bookmarkStart w:id="26" w:name="_Toc526934522"/>
      <w:bookmarkStart w:id="27" w:name="_Toc526939576"/>
      <w:bookmarkStart w:id="28" w:name="_Toc526942684"/>
      <w:bookmarkStart w:id="29" w:name="_Toc526942960"/>
      <w:bookmarkStart w:id="30" w:name="_Toc52753474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Arial" w:eastAsia="Times New Roman" w:hAnsi="Arial" w:cs="Arial"/>
        </w:rPr>
        <w:t xml:space="preserve">Measurement plays an important role in Australia’s economy. </w:t>
      </w:r>
      <w:r w:rsidR="00802396">
        <w:rPr>
          <w:rFonts w:ascii="Arial" w:eastAsia="Times New Roman" w:hAnsi="Arial" w:cs="Arial"/>
        </w:rPr>
        <w:t>As detailed in section 51</w:t>
      </w:r>
      <w:r w:rsidR="00623BB2" w:rsidRPr="00623BB2">
        <w:rPr>
          <w:rFonts w:ascii="Arial" w:eastAsia="Times New Roman" w:hAnsi="Arial" w:cs="Arial"/>
        </w:rPr>
        <w:t xml:space="preserve">(xv) of the Constitution, the Australian Government has responsibility for weights and measures and, in keeping with this responsibility, </w:t>
      </w:r>
      <w:r w:rsidR="0012161D">
        <w:rPr>
          <w:rFonts w:ascii="Arial" w:eastAsia="Times New Roman" w:hAnsi="Arial" w:cs="Arial"/>
        </w:rPr>
        <w:t xml:space="preserve">has </w:t>
      </w:r>
      <w:r w:rsidR="00623BB2" w:rsidRPr="00623BB2">
        <w:rPr>
          <w:rFonts w:ascii="Arial" w:eastAsia="Times New Roman" w:hAnsi="Arial" w:cs="Arial"/>
        </w:rPr>
        <w:t>enacted legislation to carry out its metrological functions</w:t>
      </w:r>
      <w:r w:rsidR="00623BB2" w:rsidRPr="00623BB2">
        <w:rPr>
          <w:rFonts w:eastAsia="Times New Roman" w:cs="Times New Roman"/>
        </w:rPr>
        <w:t>. The objectives of this legislation include establishing and coordinating a uniform national system of measurement, including trade measurement.</w:t>
      </w:r>
    </w:p>
    <w:p w14:paraId="06405DFD" w14:textId="7EE2E217" w:rsidR="0053567F" w:rsidRDefault="0053567F" w:rsidP="0053567F">
      <w:r>
        <w:t>A 2015 independent</w:t>
      </w:r>
      <w:r w:rsidRPr="00505332">
        <w:t xml:space="preserve"> </w:t>
      </w:r>
      <w:r>
        <w:t>review of Australia’s legal metrology activities indicated while the national measurement system is working well, the legislation</w:t>
      </w:r>
      <w:r w:rsidR="00365418">
        <w:t xml:space="preserve"> is</w:t>
      </w:r>
      <w:r>
        <w:t>:</w:t>
      </w:r>
    </w:p>
    <w:p w14:paraId="37E9BE11" w14:textId="77777777" w:rsidR="00365418" w:rsidRPr="006E0F9C" w:rsidRDefault="00365418" w:rsidP="0059566C">
      <w:pPr>
        <w:numPr>
          <w:ilvl w:val="0"/>
          <w:numId w:val="13"/>
        </w:numPr>
        <w:spacing w:after="160" w:line="259" w:lineRule="auto"/>
        <w:contextualSpacing/>
        <w:rPr>
          <w:rFonts w:eastAsia="Times New Roman" w:cs="Times New Roman"/>
        </w:rPr>
      </w:pPr>
      <w:r w:rsidRPr="006E0F9C">
        <w:rPr>
          <w:rFonts w:eastAsia="Times New Roman" w:cs="Times New Roman"/>
        </w:rPr>
        <w:t>very prescriptive and needs to address matters of policy and principle, reduce prescription and remove matters of detail (regulatory processes) into subordinate legislation or guidance material</w:t>
      </w:r>
    </w:p>
    <w:p w14:paraId="1D2D7708" w14:textId="77777777" w:rsidR="00365418" w:rsidRPr="006E0F9C" w:rsidRDefault="00365418" w:rsidP="0059566C">
      <w:pPr>
        <w:numPr>
          <w:ilvl w:val="0"/>
          <w:numId w:val="13"/>
        </w:numPr>
        <w:spacing w:after="160" w:line="259" w:lineRule="auto"/>
        <w:contextualSpacing/>
        <w:rPr>
          <w:rFonts w:eastAsia="Times New Roman" w:cs="Times New Roman"/>
        </w:rPr>
      </w:pPr>
      <w:r w:rsidRPr="006E0F9C">
        <w:rPr>
          <w:rFonts w:eastAsia="Times New Roman" w:cs="Times New Roman"/>
        </w:rPr>
        <w:t>complicated and needs to enable the public to understand their obligations and the implications of regulatory measurements, and</w:t>
      </w:r>
    </w:p>
    <w:p w14:paraId="743C341C" w14:textId="7E30815B" w:rsidR="00365418" w:rsidRPr="006E0F9C" w:rsidRDefault="00365418" w:rsidP="0059566C">
      <w:pPr>
        <w:numPr>
          <w:ilvl w:val="0"/>
          <w:numId w:val="13"/>
        </w:numPr>
        <w:spacing w:after="160" w:line="259" w:lineRule="auto"/>
        <w:contextualSpacing/>
        <w:rPr>
          <w:rFonts w:eastAsia="Times New Roman" w:cs="Times New Roman"/>
        </w:rPr>
      </w:pPr>
      <w:r w:rsidRPr="006E0F9C">
        <w:rPr>
          <w:rFonts w:eastAsia="Times New Roman" w:cs="Times New Roman"/>
        </w:rPr>
        <w:t>not easy to understand and needs to be written in plain language to improve clarity and simplicity</w:t>
      </w:r>
      <w:r w:rsidR="0046058F">
        <w:rPr>
          <w:rFonts w:eastAsia="Times New Roman" w:cs="Times New Roman"/>
        </w:rPr>
        <w:t>.</w:t>
      </w:r>
    </w:p>
    <w:p w14:paraId="69BAC534" w14:textId="77777777" w:rsidR="00365418" w:rsidRPr="006E0F9C" w:rsidRDefault="00365418" w:rsidP="0053567F">
      <w:pPr>
        <w:rPr>
          <w:sz w:val="2"/>
        </w:rPr>
      </w:pPr>
    </w:p>
    <w:p w14:paraId="4A1DC640" w14:textId="0B734EA4" w:rsidR="0053567F" w:rsidRDefault="0053567F" w:rsidP="0053567F">
      <w:r>
        <w:t xml:space="preserve">The measurement law </w:t>
      </w:r>
      <w:r w:rsidRPr="002575EA">
        <w:t xml:space="preserve">needs to: </w:t>
      </w:r>
      <w:r>
        <w:t>better reflect and integrate current policy and principles into the legislation; articulate performance outcomes;</w:t>
      </w:r>
      <w:r w:rsidRPr="002575EA">
        <w:t xml:space="preserve"> </w:t>
      </w:r>
      <w:r>
        <w:t>and enhance flexibility,</w:t>
      </w:r>
      <w:r w:rsidRPr="002575EA">
        <w:t xml:space="preserve"> </w:t>
      </w:r>
      <w:r w:rsidR="0012161D">
        <w:t>with consideration given to</w:t>
      </w:r>
      <w:r w:rsidRPr="002575EA">
        <w:t xml:space="preserve"> the application of </w:t>
      </w:r>
      <w:r>
        <w:t xml:space="preserve">a </w:t>
      </w:r>
      <w:r w:rsidRPr="002575EA">
        <w:t xml:space="preserve">principles-based </w:t>
      </w:r>
      <w:r>
        <w:t>approach</w:t>
      </w:r>
      <w:r w:rsidRPr="002575EA">
        <w:t>.</w:t>
      </w:r>
    </w:p>
    <w:p w14:paraId="734B5785" w14:textId="259E7BB3" w:rsidR="00C94579" w:rsidRPr="003829F2" w:rsidRDefault="00C94579" w:rsidP="0059566C">
      <w:pPr>
        <w:pStyle w:val="Heading2"/>
        <w:numPr>
          <w:ilvl w:val="1"/>
          <w:numId w:val="16"/>
        </w:numPr>
        <w:ind w:hanging="792"/>
      </w:pPr>
      <w:bookmarkStart w:id="31" w:name="_Toc3468089"/>
      <w:r w:rsidRPr="003829F2">
        <w:t xml:space="preserve">The </w:t>
      </w:r>
      <w:r w:rsidR="00C36122" w:rsidRPr="003829F2">
        <w:t xml:space="preserve">Measurement Law </w:t>
      </w:r>
      <w:r w:rsidRPr="003829F2">
        <w:t>Review</w:t>
      </w:r>
      <w:r w:rsidR="00C36122" w:rsidRPr="003829F2">
        <w:t xml:space="preserve"> (The Review)</w:t>
      </w:r>
      <w:bookmarkEnd w:id="31"/>
    </w:p>
    <w:p w14:paraId="2C697417" w14:textId="6939508C" w:rsidR="0053567F" w:rsidRDefault="0053567F" w:rsidP="0053567F">
      <w:r w:rsidRPr="001D7587">
        <w:t>The Australian Government is conducting a review of Australia</w:t>
      </w:r>
      <w:r w:rsidR="00C36122">
        <w:t>’s measurement laws. The R</w:t>
      </w:r>
      <w:r>
        <w:t>eview aims to ensure Australia’s measurement framework can support the economy now and into the future as technology, industry and consumer needs evolve.</w:t>
      </w:r>
    </w:p>
    <w:p w14:paraId="64976A0C" w14:textId="503F13E3" w:rsidR="0053567F" w:rsidRDefault="0053567F" w:rsidP="0053567F">
      <w:r>
        <w:t>The Review provides an opportunity to consider whether the legislation continues to be appropriate, effective and efficient. This paper is not an exhaustive exploration of the topic and you are welcome to raise issues and views not outlined in this paper in your submission.</w:t>
      </w:r>
      <w:r w:rsidR="009542AE">
        <w:t xml:space="preserve"> </w:t>
      </w:r>
      <w:r w:rsidR="00653B9C">
        <w:t>Q</w:t>
      </w:r>
      <w:r w:rsidR="00522C7A">
        <w:t xml:space="preserve">uestions are provided at the end of each section to prompt feedback. Any calculations of costs or benefits to </w:t>
      </w:r>
      <w:r w:rsidR="003B2CB4">
        <w:t xml:space="preserve">any issues raised </w:t>
      </w:r>
      <w:r w:rsidR="00522C7A">
        <w:t>would be useful to include in your submission.</w:t>
      </w:r>
    </w:p>
    <w:p w14:paraId="00BB06C1" w14:textId="1EEAC8FA" w:rsidR="00623BB2" w:rsidRPr="00623BB2" w:rsidRDefault="00623BB2" w:rsidP="00623BB2">
      <w:pPr>
        <w:rPr>
          <w:rFonts w:eastAsia="Times New Roman" w:cs="Times New Roman"/>
        </w:rPr>
      </w:pPr>
      <w:r w:rsidRPr="00623BB2">
        <w:rPr>
          <w:rFonts w:eastAsia="Times New Roman" w:cs="Times New Roman"/>
        </w:rPr>
        <w:t xml:space="preserve">The Review </w:t>
      </w:r>
      <w:r w:rsidR="007628FC">
        <w:rPr>
          <w:rFonts w:eastAsia="Times New Roman" w:cs="Times New Roman"/>
        </w:rPr>
        <w:t xml:space="preserve">secretariat </w:t>
      </w:r>
      <w:r w:rsidRPr="00623BB2">
        <w:rPr>
          <w:rFonts w:eastAsia="Times New Roman" w:cs="Times New Roman"/>
        </w:rPr>
        <w:t xml:space="preserve">would be interested in receiving responses from parties including, but not limited to: </w:t>
      </w:r>
    </w:p>
    <w:p w14:paraId="21FEC533" w14:textId="302CECAC" w:rsidR="00623BB2" w:rsidRPr="00623BB2" w:rsidRDefault="00623BB2" w:rsidP="0059566C">
      <w:pPr>
        <w:numPr>
          <w:ilvl w:val="0"/>
          <w:numId w:val="7"/>
        </w:numPr>
        <w:contextualSpacing/>
        <w:rPr>
          <w:rFonts w:eastAsia="Times New Roman" w:cs="Times New Roman"/>
        </w:rPr>
      </w:pPr>
      <w:r w:rsidRPr="00623BB2">
        <w:rPr>
          <w:rFonts w:eastAsia="Times New Roman" w:cs="Times New Roman"/>
        </w:rPr>
        <w:t>a person or entity involved in making</w:t>
      </w:r>
      <w:r w:rsidR="00526785">
        <w:rPr>
          <w:rFonts w:eastAsia="Times New Roman" w:cs="Times New Roman"/>
        </w:rPr>
        <w:t xml:space="preserve"> or relying on</w:t>
      </w:r>
      <w:r w:rsidRPr="00623BB2">
        <w:rPr>
          <w:rFonts w:eastAsia="Times New Roman" w:cs="Times New Roman"/>
        </w:rPr>
        <w:t xml:space="preserve"> measurements under the legislative framework</w:t>
      </w:r>
    </w:p>
    <w:p w14:paraId="45DFFA03" w14:textId="468051C2" w:rsidR="00623BB2" w:rsidRPr="00623BB2" w:rsidRDefault="00623BB2" w:rsidP="0059566C">
      <w:pPr>
        <w:numPr>
          <w:ilvl w:val="0"/>
          <w:numId w:val="7"/>
        </w:numPr>
        <w:contextualSpacing/>
        <w:rPr>
          <w:rFonts w:eastAsia="Times New Roman" w:cs="Times New Roman"/>
        </w:rPr>
      </w:pPr>
      <w:r w:rsidRPr="00623BB2">
        <w:rPr>
          <w:rFonts w:eastAsia="Times New Roman" w:cs="Times New Roman"/>
        </w:rPr>
        <w:t>providers of physical, chemical and/or biological measurement services</w:t>
      </w:r>
    </w:p>
    <w:p w14:paraId="3DD7402A" w14:textId="77777777" w:rsidR="00B70FC3" w:rsidRDefault="00623BB2" w:rsidP="0059566C">
      <w:pPr>
        <w:numPr>
          <w:ilvl w:val="0"/>
          <w:numId w:val="7"/>
        </w:numPr>
        <w:contextualSpacing/>
        <w:rPr>
          <w:rFonts w:eastAsia="Times New Roman" w:cs="Times New Roman"/>
        </w:rPr>
      </w:pPr>
      <w:r w:rsidRPr="00623BB2">
        <w:rPr>
          <w:rFonts w:eastAsia="Times New Roman" w:cs="Times New Roman"/>
        </w:rPr>
        <w:t>providers of measuring instruments</w:t>
      </w:r>
    </w:p>
    <w:p w14:paraId="3C872B2E" w14:textId="38EAFE76" w:rsidR="00623BB2" w:rsidRPr="00623BB2" w:rsidRDefault="00623BB2" w:rsidP="0059566C">
      <w:pPr>
        <w:numPr>
          <w:ilvl w:val="0"/>
          <w:numId w:val="7"/>
        </w:numPr>
        <w:contextualSpacing/>
        <w:rPr>
          <w:rFonts w:eastAsia="Times New Roman" w:cs="Times New Roman"/>
        </w:rPr>
      </w:pPr>
      <w:r w:rsidRPr="00623BB2">
        <w:rPr>
          <w:rFonts w:eastAsia="Times New Roman" w:cs="Times New Roman"/>
        </w:rPr>
        <w:t>innovators of measurement technology</w:t>
      </w:r>
    </w:p>
    <w:p w14:paraId="28905D07" w14:textId="2A30B4A2" w:rsidR="00623BB2" w:rsidRPr="00623BB2" w:rsidRDefault="00623BB2" w:rsidP="0059566C">
      <w:pPr>
        <w:numPr>
          <w:ilvl w:val="0"/>
          <w:numId w:val="7"/>
        </w:numPr>
        <w:contextualSpacing/>
        <w:rPr>
          <w:rFonts w:eastAsia="Times New Roman" w:cs="Times New Roman"/>
        </w:rPr>
      </w:pPr>
      <w:r w:rsidRPr="00623BB2">
        <w:rPr>
          <w:rFonts w:eastAsia="Times New Roman" w:cs="Times New Roman"/>
        </w:rPr>
        <w:t>jurisdictional agencies whose regulations call up measurement laws</w:t>
      </w:r>
    </w:p>
    <w:p w14:paraId="133D6298" w14:textId="2A10A693" w:rsidR="002D2C2D" w:rsidRPr="00526785" w:rsidRDefault="004B4EA8" w:rsidP="0059566C">
      <w:pPr>
        <w:numPr>
          <w:ilvl w:val="0"/>
          <w:numId w:val="7"/>
        </w:numPr>
        <w:spacing w:after="0" w:line="240" w:lineRule="auto"/>
        <w:ind w:left="357" w:hanging="357"/>
        <w:contextualSpacing/>
        <w:rPr>
          <w:rFonts w:eastAsia="Times New Roman" w:cs="Times New Roman"/>
        </w:rPr>
      </w:pPr>
      <w:r>
        <w:rPr>
          <w:rFonts w:eastAsia="Times New Roman" w:cs="Times New Roman"/>
        </w:rPr>
        <w:t>legal professionals</w:t>
      </w:r>
    </w:p>
    <w:p w14:paraId="32604F01" w14:textId="6DABDB9E" w:rsidR="002D2C2D" w:rsidRPr="00526785" w:rsidRDefault="00526785" w:rsidP="0059566C">
      <w:pPr>
        <w:pStyle w:val="ListParagraph"/>
        <w:numPr>
          <w:ilvl w:val="0"/>
          <w:numId w:val="7"/>
        </w:numPr>
        <w:spacing w:after="0" w:line="240" w:lineRule="auto"/>
        <w:ind w:left="357" w:hanging="357"/>
        <w:contextualSpacing w:val="0"/>
      </w:pPr>
      <w:r w:rsidRPr="00526785">
        <w:t>consumers and the general public who rely on or are impacted by measurement in their daily lives</w:t>
      </w:r>
      <w:r w:rsidR="00AB2911">
        <w:t>.</w:t>
      </w:r>
    </w:p>
    <w:p w14:paraId="454D9CCD" w14:textId="33C39A07" w:rsidR="00623BB2" w:rsidRPr="00623BB2" w:rsidRDefault="00623BB2" w:rsidP="002D2C2D">
      <w:pPr>
        <w:ind w:left="360"/>
        <w:contextualSpacing/>
        <w:rPr>
          <w:rFonts w:eastAsia="Times New Roman" w:cs="Times New Roman"/>
        </w:rPr>
      </w:pPr>
    </w:p>
    <w:p w14:paraId="6C8F0C4A" w14:textId="30AF7538" w:rsidR="0053567F" w:rsidRDefault="0053567F" w:rsidP="0050730B">
      <w:pPr>
        <w:rPr>
          <w:rStyle w:val="Hyperlink"/>
          <w:color w:val="C973AF" w:themeColor="accent6"/>
          <w:lang w:val="en-GB"/>
        </w:rPr>
      </w:pPr>
      <w:r>
        <w:t xml:space="preserve">For more information on the Review, please visit </w:t>
      </w:r>
      <w:hyperlink r:id="rId18" w:tooltip="Measurement Law Review website link" w:history="1">
        <w:r w:rsidRPr="007337C4">
          <w:rPr>
            <w:rStyle w:val="Hyperlink"/>
            <w:color w:val="C973AF" w:themeColor="accent6"/>
            <w:lang w:val="en-GB"/>
          </w:rPr>
          <w:t>www.industry.gov.au/measurement-law-review</w:t>
        </w:r>
      </w:hyperlink>
    </w:p>
    <w:p w14:paraId="46D7770E" w14:textId="6FDC69D2" w:rsidR="00BA6387" w:rsidRPr="00620E63" w:rsidRDefault="00BA6387" w:rsidP="0059566C">
      <w:pPr>
        <w:pStyle w:val="Heading2"/>
        <w:numPr>
          <w:ilvl w:val="1"/>
          <w:numId w:val="16"/>
        </w:numPr>
        <w:ind w:hanging="792"/>
      </w:pPr>
      <w:bookmarkStart w:id="32" w:name="_Toc527534748"/>
      <w:bookmarkStart w:id="33" w:name="_Toc3468090"/>
      <w:bookmarkEnd w:id="32"/>
      <w:bookmarkEnd w:id="14"/>
      <w:bookmarkEnd w:id="13"/>
      <w:r w:rsidRPr="00023D99">
        <w:t>Th</w:t>
      </w:r>
      <w:r w:rsidR="00482266" w:rsidRPr="00620E63">
        <w:t>is</w:t>
      </w:r>
      <w:r w:rsidRPr="00620E63">
        <w:t xml:space="preserve"> Discussion </w:t>
      </w:r>
      <w:r w:rsidR="00360E35" w:rsidRPr="00620E63">
        <w:t>P</w:t>
      </w:r>
      <w:r w:rsidRPr="00620E63">
        <w:t>aper</w:t>
      </w:r>
      <w:bookmarkEnd w:id="33"/>
    </w:p>
    <w:p w14:paraId="33C5EC37" w14:textId="5388E3F0" w:rsidR="00623BB2" w:rsidRPr="00623BB2" w:rsidRDefault="00623BB2" w:rsidP="00023D99">
      <w:pPr>
        <w:pBdr>
          <w:top w:val="single" w:sz="4" w:space="4" w:color="00283E" w:themeColor="accent2"/>
          <w:left w:val="single" w:sz="4" w:space="4" w:color="00283E" w:themeColor="accent2"/>
          <w:bottom w:val="single" w:sz="4" w:space="4" w:color="00283E" w:themeColor="accent2"/>
          <w:right w:val="single" w:sz="4" w:space="4" w:color="00283E" w:themeColor="accent2"/>
        </w:pBdr>
        <w:shd w:val="clear" w:color="auto" w:fill="D1EEFF" w:themeFill="accent2" w:themeFillTint="1A"/>
        <w:ind w:left="113" w:right="113"/>
        <w:rPr>
          <w:rFonts w:eastAsia="Times New Roman" w:cs="Times New Roman"/>
        </w:rPr>
      </w:pPr>
      <w:r w:rsidRPr="00623BB2">
        <w:rPr>
          <w:rFonts w:eastAsia="Times New Roman" w:cs="Times New Roman"/>
        </w:rPr>
        <w:t xml:space="preserve">The Review </w:t>
      </w:r>
      <w:r w:rsidR="00620E63">
        <w:rPr>
          <w:rFonts w:eastAsia="Times New Roman" w:cs="Times New Roman"/>
        </w:rPr>
        <w:t>secretariat</w:t>
      </w:r>
      <w:r w:rsidR="00620E63" w:rsidRPr="00623BB2">
        <w:rPr>
          <w:rFonts w:eastAsia="Times New Roman" w:cs="Times New Roman"/>
        </w:rPr>
        <w:t xml:space="preserve"> </w:t>
      </w:r>
      <w:r w:rsidRPr="00623BB2">
        <w:rPr>
          <w:rFonts w:eastAsia="Times New Roman" w:cs="Times New Roman"/>
        </w:rPr>
        <w:t xml:space="preserve">seeks insights into the role of government and viable approaches to assure traceable measurement where required. The </w:t>
      </w:r>
      <w:r w:rsidR="00371772">
        <w:rPr>
          <w:rFonts w:eastAsia="Times New Roman" w:cs="Times New Roman"/>
        </w:rPr>
        <w:t>secretariat</w:t>
      </w:r>
      <w:r w:rsidR="00371772" w:rsidRPr="00623BB2">
        <w:rPr>
          <w:rFonts w:eastAsia="Times New Roman" w:cs="Times New Roman"/>
        </w:rPr>
        <w:t xml:space="preserve"> </w:t>
      </w:r>
      <w:r w:rsidRPr="00623BB2">
        <w:rPr>
          <w:rFonts w:eastAsia="Times New Roman" w:cs="Times New Roman"/>
        </w:rPr>
        <w:t xml:space="preserve">seeks views on streamlining the existing framework that provides legal validity to measurements. </w:t>
      </w:r>
    </w:p>
    <w:p w14:paraId="24F3135B" w14:textId="36EE1C58" w:rsidR="00D76596" w:rsidRDefault="00D76596" w:rsidP="00023D99">
      <w:pPr>
        <w:pStyle w:val="Casestudy"/>
      </w:pPr>
      <w:r>
        <w:lastRenderedPageBreak/>
        <w:t>A legal framework aims to give greater assurance that measurements are indeed what they purport to be</w:t>
      </w:r>
      <w:r w:rsidR="007867FB">
        <w:t xml:space="preserve"> and </w:t>
      </w:r>
      <w:r w:rsidR="00D71C40">
        <w:t>that they can be ascertained in case of dispute</w:t>
      </w:r>
      <w:r w:rsidR="007867FB">
        <w:t xml:space="preserve">. </w:t>
      </w:r>
    </w:p>
    <w:p w14:paraId="1C3A45C7" w14:textId="0CD8AA08" w:rsidR="00B95F3F" w:rsidRDefault="00B95F3F" w:rsidP="00BA276D">
      <w:pPr>
        <w:pStyle w:val="Casestudy"/>
      </w:pPr>
      <w:r>
        <w:t xml:space="preserve">It should be noted that this paper is focused on Australia’s legal measurement system.  Measurement required for compliance with International Laboratory Accreditation Cooperation (ILAC), National </w:t>
      </w:r>
      <w:r w:rsidR="009457A0">
        <w:t>Association</w:t>
      </w:r>
      <w:r>
        <w:t xml:space="preserve"> of Testing Authorities, Australia (NATA), International Organi</w:t>
      </w:r>
      <w:r w:rsidR="00623BB2">
        <w:t>z</w:t>
      </w:r>
      <w:r>
        <w:t>ation for Standardi</w:t>
      </w:r>
      <w:r w:rsidR="00623BB2">
        <w:t>z</w:t>
      </w:r>
      <w:r>
        <w:t>ation (ISO) or other international standards bodies, or for operational and quality needs</w:t>
      </w:r>
      <w:r w:rsidR="00D43A62">
        <w:t>,</w:t>
      </w:r>
      <w:r>
        <w:t xml:space="preserve"> remains largely unaffected.</w:t>
      </w:r>
    </w:p>
    <w:p w14:paraId="135A2F19" w14:textId="459D481A" w:rsidR="00EC0FB7" w:rsidRDefault="006D6002" w:rsidP="00EC0FB7">
      <w:r>
        <w:t xml:space="preserve">This discussion paper </w:t>
      </w:r>
      <w:r w:rsidR="00822DBB">
        <w:t>on T</w:t>
      </w:r>
      <w:r w:rsidR="00C94579">
        <w:t xml:space="preserve">raceable </w:t>
      </w:r>
      <w:r w:rsidR="00822DBB">
        <w:t>M</w:t>
      </w:r>
      <w:r w:rsidR="00C94579">
        <w:t xml:space="preserve">easurement </w:t>
      </w:r>
      <w:r>
        <w:t>will refer to</w:t>
      </w:r>
      <w:r w:rsidR="00EC0FB7">
        <w:t>:</w:t>
      </w:r>
    </w:p>
    <w:p w14:paraId="77758269" w14:textId="3DE3E616" w:rsidR="006D6002" w:rsidRDefault="006D6002" w:rsidP="0059566C">
      <w:pPr>
        <w:pStyle w:val="ListParagraph"/>
        <w:numPr>
          <w:ilvl w:val="0"/>
          <w:numId w:val="9"/>
        </w:numPr>
      </w:pPr>
      <w:r>
        <w:t>The</w:t>
      </w:r>
      <w:r w:rsidR="002C0BCD">
        <w:t xml:space="preserve"> </w:t>
      </w:r>
      <w:r w:rsidR="002C0BCD" w:rsidRPr="00736300">
        <w:rPr>
          <w:i/>
        </w:rPr>
        <w:t xml:space="preserve">National Measurement </w:t>
      </w:r>
      <w:r w:rsidRPr="00736300">
        <w:rPr>
          <w:i/>
        </w:rPr>
        <w:t>Act</w:t>
      </w:r>
      <w:r w:rsidR="002C0BCD" w:rsidRPr="00736300">
        <w:rPr>
          <w:i/>
        </w:rPr>
        <w:t xml:space="preserve"> 1960</w:t>
      </w:r>
      <w:r w:rsidR="002C0BCD">
        <w:t xml:space="preserve"> (the Act)</w:t>
      </w:r>
      <w:r>
        <w:t xml:space="preserve">, Part </w:t>
      </w:r>
      <w:r w:rsidR="00D6293C">
        <w:t>II</w:t>
      </w:r>
      <w:r>
        <w:t>: Units and standards of measurement</w:t>
      </w:r>
    </w:p>
    <w:p w14:paraId="7218ED94" w14:textId="77777777" w:rsidR="006D6002" w:rsidRDefault="006D6002" w:rsidP="0059566C">
      <w:pPr>
        <w:pStyle w:val="ListParagraph"/>
        <w:numPr>
          <w:ilvl w:val="0"/>
          <w:numId w:val="9"/>
        </w:numPr>
      </w:pPr>
      <w:r>
        <w:t xml:space="preserve">The </w:t>
      </w:r>
      <w:r w:rsidRPr="00736300">
        <w:rPr>
          <w:i/>
        </w:rPr>
        <w:t>N</w:t>
      </w:r>
      <w:r w:rsidR="002C0BCD" w:rsidRPr="00736300">
        <w:rPr>
          <w:i/>
        </w:rPr>
        <w:t xml:space="preserve">ational </w:t>
      </w:r>
      <w:r w:rsidRPr="00736300">
        <w:rPr>
          <w:i/>
        </w:rPr>
        <w:t>M</w:t>
      </w:r>
      <w:r w:rsidR="002C0BCD" w:rsidRPr="00736300">
        <w:rPr>
          <w:i/>
        </w:rPr>
        <w:t xml:space="preserve">easurement </w:t>
      </w:r>
      <w:r w:rsidRPr="00736300">
        <w:rPr>
          <w:i/>
        </w:rPr>
        <w:t>R</w:t>
      </w:r>
      <w:r w:rsidR="002C0BCD" w:rsidRPr="00736300">
        <w:rPr>
          <w:i/>
        </w:rPr>
        <w:t>egulations 1999</w:t>
      </w:r>
      <w:r w:rsidR="002C0BCD">
        <w:t xml:space="preserve"> (NMR)</w:t>
      </w:r>
      <w:r>
        <w:t xml:space="preserve">, Parts </w:t>
      </w:r>
      <w:r w:rsidR="00D6293C">
        <w:t>3</w:t>
      </w:r>
      <w:r>
        <w:t xml:space="preserve"> (Standards of measurement), </w:t>
      </w:r>
      <w:r w:rsidR="00D6293C">
        <w:t>3</w:t>
      </w:r>
      <w:r>
        <w:t xml:space="preserve">A (Artefacts), and </w:t>
      </w:r>
      <w:r w:rsidR="00D6293C">
        <w:t>5</w:t>
      </w:r>
      <w:r>
        <w:t xml:space="preserve"> (Reference Materials)</w:t>
      </w:r>
    </w:p>
    <w:p w14:paraId="415F4C37" w14:textId="77777777" w:rsidR="006D6002" w:rsidRPr="00736300" w:rsidRDefault="006D6002" w:rsidP="0059566C">
      <w:pPr>
        <w:pStyle w:val="ListParagraph"/>
        <w:numPr>
          <w:ilvl w:val="0"/>
          <w:numId w:val="9"/>
        </w:numPr>
        <w:rPr>
          <w:i/>
        </w:rPr>
      </w:pPr>
      <w:r>
        <w:t>The</w:t>
      </w:r>
      <w:r w:rsidR="002C0BCD">
        <w:t xml:space="preserve"> </w:t>
      </w:r>
      <w:r w:rsidR="002C0BCD" w:rsidRPr="00736300">
        <w:rPr>
          <w:i/>
        </w:rPr>
        <w:t>National Measurement</w:t>
      </w:r>
      <w:r w:rsidRPr="00736300">
        <w:rPr>
          <w:i/>
        </w:rPr>
        <w:t xml:space="preserve"> Guidelines </w:t>
      </w:r>
      <w:r w:rsidR="002C0BCD" w:rsidRPr="00736300">
        <w:rPr>
          <w:i/>
        </w:rPr>
        <w:t>2016</w:t>
      </w:r>
    </w:p>
    <w:p w14:paraId="7FFBA0C9" w14:textId="5698A1C7" w:rsidR="00D00E30" w:rsidRDefault="00D00E30" w:rsidP="0059566C">
      <w:pPr>
        <w:pStyle w:val="ListParagraph"/>
        <w:numPr>
          <w:ilvl w:val="0"/>
          <w:numId w:val="9"/>
        </w:numPr>
      </w:pPr>
      <w:r>
        <w:t>All Determinations issued under the Act.</w:t>
      </w:r>
    </w:p>
    <w:p w14:paraId="38A380EB" w14:textId="757EB65B" w:rsidR="008A6B80" w:rsidRDefault="006D6002" w:rsidP="004F6CB0">
      <w:r>
        <w:t xml:space="preserve">This paper </w:t>
      </w:r>
      <w:r w:rsidR="00D71C40">
        <w:t xml:space="preserve">covers </w:t>
      </w:r>
      <w:r w:rsidR="00C94579">
        <w:t xml:space="preserve">traceable </w:t>
      </w:r>
      <w:r w:rsidR="00C00DEA">
        <w:t xml:space="preserve">measurement of </w:t>
      </w:r>
      <w:r>
        <w:t>physical quantit</w:t>
      </w:r>
      <w:r w:rsidR="00C00DEA">
        <w:t>ies</w:t>
      </w:r>
      <w:r w:rsidR="00C94579">
        <w:t xml:space="preserve"> with considerations for </w:t>
      </w:r>
      <w:r>
        <w:t>chemical and biological quantit</w:t>
      </w:r>
      <w:r w:rsidR="00C00DEA">
        <w:t>ies</w:t>
      </w:r>
      <w:r w:rsidR="007902CE">
        <w:t xml:space="preserve"> in the context of</w:t>
      </w:r>
      <w:r w:rsidR="00AB2911">
        <w:t xml:space="preserve"> </w:t>
      </w:r>
      <w:r w:rsidR="00C00DEA">
        <w:t xml:space="preserve">the legal </w:t>
      </w:r>
      <w:r>
        <w:t>measurement</w:t>
      </w:r>
      <w:r w:rsidR="00C00DEA">
        <w:t xml:space="preserve"> system</w:t>
      </w:r>
      <w:r w:rsidR="000A785A">
        <w:t>.</w:t>
      </w:r>
    </w:p>
    <w:p w14:paraId="3D695802" w14:textId="7E0C05DB" w:rsidR="00906CA9" w:rsidRDefault="00EC0FB7" w:rsidP="00906CA9">
      <w:r>
        <w:t xml:space="preserve">For additional information on all discussion papers, please refer to the </w:t>
      </w:r>
      <w:hyperlink r:id="rId19" w:history="1">
        <w:r w:rsidRPr="00124368">
          <w:rPr>
            <w:rStyle w:val="Hyperlink"/>
            <w:i/>
          </w:rPr>
          <w:t>Guide to the Discussion Papers</w:t>
        </w:r>
      </w:hyperlink>
      <w:r w:rsidR="00124368">
        <w:t>.</w:t>
      </w:r>
    </w:p>
    <w:p w14:paraId="0846F1D6" w14:textId="77777777" w:rsidR="00906CA9" w:rsidRDefault="00906CA9">
      <w:pPr>
        <w:spacing w:after="200"/>
      </w:pPr>
      <w:r>
        <w:br w:type="page"/>
      </w:r>
    </w:p>
    <w:p w14:paraId="42F23B46" w14:textId="331F9C2E" w:rsidR="00BA6387" w:rsidRDefault="00BA6387" w:rsidP="0059566C">
      <w:pPr>
        <w:pStyle w:val="Heading1"/>
        <w:numPr>
          <w:ilvl w:val="0"/>
          <w:numId w:val="16"/>
        </w:numPr>
      </w:pPr>
      <w:bookmarkStart w:id="34" w:name="_Toc3468091"/>
      <w:r>
        <w:lastRenderedPageBreak/>
        <w:t>Traceable measurement</w:t>
      </w:r>
      <w:bookmarkEnd w:id="34"/>
    </w:p>
    <w:p w14:paraId="61D8CB4A" w14:textId="2A570976" w:rsidR="00C94579" w:rsidRDefault="001805AC" w:rsidP="00C94579">
      <w:r>
        <w:t>T</w:t>
      </w:r>
      <w:r w:rsidR="00B95F3F">
        <w:rPr>
          <w:rStyle w:val="ilfuvd"/>
          <w:rFonts w:ascii="Arial" w:hAnsi="Arial" w:cs="Arial"/>
          <w:color w:val="222222"/>
        </w:rPr>
        <w:t>he i</w:t>
      </w:r>
      <w:r w:rsidR="00B95F3F">
        <w:t xml:space="preserve">nternationally </w:t>
      </w:r>
      <w:r w:rsidR="00360E35">
        <w:t>accepted</w:t>
      </w:r>
      <w:r w:rsidR="00C94579">
        <w:t xml:space="preserve"> definition of traceability</w:t>
      </w:r>
      <w:r>
        <w:t xml:space="preserve"> is</w:t>
      </w:r>
      <w:r w:rsidR="00360E35">
        <w:t>:</w:t>
      </w:r>
    </w:p>
    <w:p w14:paraId="54FBBBB6" w14:textId="2DB8D7E8" w:rsidR="00C94579" w:rsidRPr="0077453D" w:rsidRDefault="00C94579" w:rsidP="00C94579">
      <w:pPr>
        <w:ind w:left="720"/>
        <w:rPr>
          <w:i/>
          <w:iCs/>
        </w:rPr>
      </w:pPr>
      <w:r>
        <w:rPr>
          <w:i/>
          <w:iCs/>
        </w:rPr>
        <w:t>Traceability refers to the property of a measurement result whereby the result can be related to a reference through a documented unbroken chain of calibrations, each contributing to the measurement uncertainty</w:t>
      </w:r>
      <w:r w:rsidR="00F97DA1">
        <w:rPr>
          <w:rStyle w:val="FootnoteReference"/>
          <w:i/>
          <w:iCs/>
        </w:rPr>
        <w:footnoteReference w:id="2"/>
      </w:r>
      <w:r>
        <w:rPr>
          <w:i/>
          <w:iCs/>
        </w:rPr>
        <w:t>.</w:t>
      </w:r>
    </w:p>
    <w:p w14:paraId="043648A3" w14:textId="2AD1630A" w:rsidR="00094220" w:rsidRDefault="005C175C" w:rsidP="005C175C">
      <w:r>
        <w:t>Measurement science provides the basis by which measurement</w:t>
      </w:r>
      <w:r w:rsidR="00896623">
        <w:t>s</w:t>
      </w:r>
      <w:r>
        <w:t xml:space="preserve"> of physical</w:t>
      </w:r>
      <w:r w:rsidR="009C4410">
        <w:t>,</w:t>
      </w:r>
      <w:r w:rsidR="00491CF4">
        <w:t xml:space="preserve"> </w:t>
      </w:r>
      <w:r>
        <w:t xml:space="preserve">chemical </w:t>
      </w:r>
      <w:r w:rsidR="00394E02">
        <w:t>or</w:t>
      </w:r>
      <w:r>
        <w:t xml:space="preserve"> biological quantit</w:t>
      </w:r>
      <w:r w:rsidR="008C27CB">
        <w:t>ies</w:t>
      </w:r>
      <w:r w:rsidRPr="00B12393">
        <w:t xml:space="preserve"> </w:t>
      </w:r>
      <w:r>
        <w:t xml:space="preserve">may be made with </w:t>
      </w:r>
      <w:r w:rsidR="007A6918">
        <w:t>known</w:t>
      </w:r>
      <w:r w:rsidR="0004687A">
        <w:t xml:space="preserve"> uncertainties.</w:t>
      </w:r>
    </w:p>
    <w:p w14:paraId="318D52A8" w14:textId="2C006673" w:rsidR="002B6C77" w:rsidRDefault="005C175C" w:rsidP="005C175C">
      <w:r>
        <w:t>The</w:t>
      </w:r>
      <w:r w:rsidR="004760E5">
        <w:t xml:space="preserve"> current</w:t>
      </w:r>
      <w:r w:rsidR="00094220">
        <w:t xml:space="preserve"> metrological f</w:t>
      </w:r>
      <w:r>
        <w:t xml:space="preserve">unctions </w:t>
      </w:r>
      <w:r w:rsidR="00094220">
        <w:t xml:space="preserve">of the Commonwealth </w:t>
      </w:r>
      <w:r>
        <w:t>include</w:t>
      </w:r>
      <w:r w:rsidR="004F0B0D">
        <w:t>, among other</w:t>
      </w:r>
      <w:r w:rsidR="00391CCB">
        <w:t xml:space="preserve"> thing</w:t>
      </w:r>
      <w:r w:rsidR="004F0B0D">
        <w:t>s</w:t>
      </w:r>
      <w:r w:rsidR="00391CCB">
        <w:t>, to</w:t>
      </w:r>
      <w:r w:rsidR="00F97DA1">
        <w:rPr>
          <w:rStyle w:val="FootnoteReference"/>
        </w:rPr>
        <w:footnoteReference w:id="3"/>
      </w:r>
      <w:r>
        <w:t xml:space="preserve">: </w:t>
      </w:r>
    </w:p>
    <w:p w14:paraId="15A8CEC6" w14:textId="2EDCF2ED" w:rsidR="002B6C77" w:rsidRDefault="005C175C" w:rsidP="0059566C">
      <w:pPr>
        <w:pStyle w:val="ListParagraph"/>
        <w:numPr>
          <w:ilvl w:val="0"/>
          <w:numId w:val="6"/>
        </w:numPr>
      </w:pPr>
      <w:r>
        <w:t>adopt and realise units of measurement</w:t>
      </w:r>
    </w:p>
    <w:p w14:paraId="0811504F" w14:textId="6D604AEE" w:rsidR="002B6C77" w:rsidRDefault="005C175C" w:rsidP="0059566C">
      <w:pPr>
        <w:pStyle w:val="ListParagraph"/>
        <w:numPr>
          <w:ilvl w:val="0"/>
          <w:numId w:val="6"/>
        </w:numPr>
      </w:pPr>
      <w:r>
        <w:t>develop and maintain standards of measurement, reference materials and reference techniques</w:t>
      </w:r>
    </w:p>
    <w:p w14:paraId="1B429A07" w14:textId="22278EB0" w:rsidR="002B6C77" w:rsidRDefault="005C175C" w:rsidP="0059566C">
      <w:pPr>
        <w:pStyle w:val="ListParagraph"/>
        <w:numPr>
          <w:ilvl w:val="0"/>
          <w:numId w:val="6"/>
        </w:numPr>
      </w:pPr>
      <w:r>
        <w:t>promote best practice in measurement</w:t>
      </w:r>
    </w:p>
    <w:p w14:paraId="651BC247" w14:textId="6299C416" w:rsidR="002B6C77" w:rsidRDefault="005C175C" w:rsidP="0059566C">
      <w:pPr>
        <w:pStyle w:val="ListParagraph"/>
        <w:numPr>
          <w:ilvl w:val="0"/>
          <w:numId w:val="6"/>
        </w:numPr>
      </w:pPr>
      <w:r>
        <w:t xml:space="preserve">provide expertise to support the </w:t>
      </w:r>
      <w:r w:rsidR="00CC441B">
        <w:t xml:space="preserve">Australian </w:t>
      </w:r>
      <w:r>
        <w:t>standards and conformance infrastructure</w:t>
      </w:r>
    </w:p>
    <w:p w14:paraId="74F8FF6C" w14:textId="40046B24" w:rsidR="00F75163" w:rsidRDefault="005C175C" w:rsidP="0059566C">
      <w:pPr>
        <w:pStyle w:val="ListParagraph"/>
        <w:numPr>
          <w:ilvl w:val="0"/>
          <w:numId w:val="6"/>
        </w:numPr>
      </w:pPr>
      <w:r>
        <w:t>provide measurement services to industry, scientific organisations and government</w:t>
      </w:r>
      <w:r w:rsidR="00D43A62">
        <w:t>,</w:t>
      </w:r>
      <w:r w:rsidR="00391CCB">
        <w:t xml:space="preserve"> and</w:t>
      </w:r>
    </w:p>
    <w:p w14:paraId="0F6BC614" w14:textId="048F142E" w:rsidR="002B6C77" w:rsidRDefault="00F75163" w:rsidP="0059566C">
      <w:pPr>
        <w:pStyle w:val="ListParagraph"/>
        <w:numPr>
          <w:ilvl w:val="0"/>
          <w:numId w:val="6"/>
        </w:numPr>
      </w:pPr>
      <w:r>
        <w:t>conduct research</w:t>
      </w:r>
      <w:r w:rsidR="005C175C">
        <w:t>.</w:t>
      </w:r>
    </w:p>
    <w:p w14:paraId="349A99D9" w14:textId="0005E2DC" w:rsidR="00D7776C" w:rsidRDefault="00D7776C" w:rsidP="0050730B">
      <w:r>
        <w:t>While the above functions contribute to measurement traceability, the legislation does not use the word ‘traceable’ or ‘traceability’. Instead, words that invoke the concept</w:t>
      </w:r>
      <w:r w:rsidR="00823928">
        <w:t xml:space="preserve"> are used,</w:t>
      </w:r>
      <w:r>
        <w:t xml:space="preserve"> includ</w:t>
      </w:r>
      <w:r w:rsidR="00823928">
        <w:t>ing</w:t>
      </w:r>
      <w:r>
        <w:t xml:space="preserve"> ‘ascertain’ and ‘verify’.</w:t>
      </w:r>
    </w:p>
    <w:p w14:paraId="2A0CF698" w14:textId="5D915B5B" w:rsidR="00EA0665" w:rsidRDefault="00F57C58" w:rsidP="0044150C">
      <w:r>
        <w:t xml:space="preserve">As a signatory to the Metre Convention, </w:t>
      </w:r>
      <w:r w:rsidR="00D7776C">
        <w:t>Australia adheres to the International System of Units (SI)</w:t>
      </w:r>
      <w:r w:rsidR="007902CE" w:rsidRPr="007902CE">
        <w:rPr>
          <w:rStyle w:val="FootnoteReference"/>
        </w:rPr>
        <w:t xml:space="preserve"> </w:t>
      </w:r>
      <w:r w:rsidR="007902CE">
        <w:rPr>
          <w:rStyle w:val="FootnoteReference"/>
        </w:rPr>
        <w:footnoteReference w:id="4"/>
      </w:r>
      <w:r w:rsidR="007902CE" w:rsidRPr="00623BB2">
        <w:rPr>
          <w:vertAlign w:val="superscript"/>
        </w:rPr>
        <w:t>,</w:t>
      </w:r>
      <w:r w:rsidR="007902CE">
        <w:t xml:space="preserve"> </w:t>
      </w:r>
      <w:r w:rsidR="007902CE">
        <w:rPr>
          <w:rStyle w:val="FootnoteReference"/>
        </w:rPr>
        <w:footnoteReference w:id="5"/>
      </w:r>
      <w:r w:rsidR="00E25E09">
        <w:t>.</w:t>
      </w:r>
      <w:r w:rsidR="00D7776C">
        <w:t xml:space="preserve"> The core of </w:t>
      </w:r>
      <w:r w:rsidR="009542AE" w:rsidRPr="00391CCB">
        <w:t>SI-</w:t>
      </w:r>
      <w:r w:rsidR="00D7776C">
        <w:t>traceable measurement results is an unbroken link from reference standards defined by SI units to practical measurements. In reference to the SI, the highest accuracy national standards of measurement of physical quantities are realised</w:t>
      </w:r>
      <w:r w:rsidR="00251A70">
        <w:rPr>
          <w:rStyle w:val="FootnoteReference"/>
        </w:rPr>
        <w:footnoteReference w:id="6"/>
      </w:r>
      <w:r w:rsidR="00D7776C">
        <w:t xml:space="preserve"> by the Australian Government through the National Measurement Institute (NMI). These standards are maintained, propagated and disseminated for use throughout the Australian economy</w:t>
      </w:r>
      <w:r w:rsidR="007902CE">
        <w:t>;</w:t>
      </w:r>
      <w:r w:rsidR="00823928">
        <w:t xml:space="preserve"> for example</w:t>
      </w:r>
      <w:r w:rsidR="007902CE">
        <w:t>,</w:t>
      </w:r>
      <w:r w:rsidR="00823928">
        <w:t xml:space="preserve"> the unit for mass, the k</w:t>
      </w:r>
      <w:r w:rsidR="00C307BF">
        <w:t>ilo</w:t>
      </w:r>
      <w:r w:rsidR="00823928">
        <w:t>g</w:t>
      </w:r>
      <w:r w:rsidR="00C307BF">
        <w:t>ram</w:t>
      </w:r>
      <w:r w:rsidR="00823928">
        <w:t>, is maintained over the range 1</w:t>
      </w:r>
      <w:r w:rsidR="00C307BF">
        <w:t xml:space="preserve"> </w:t>
      </w:r>
      <w:r w:rsidR="00823928">
        <w:t>mg to 1000</w:t>
      </w:r>
      <w:r w:rsidR="00C307BF">
        <w:t xml:space="preserve"> </w:t>
      </w:r>
      <w:r w:rsidR="00823928">
        <w:t>kg to support the needs of the economy.</w:t>
      </w:r>
      <w:r w:rsidR="00D7776C">
        <w:t xml:space="preserve"> </w:t>
      </w:r>
    </w:p>
    <w:p w14:paraId="2E3095DE" w14:textId="47626985" w:rsidR="00B53FBB" w:rsidRDefault="005C175C" w:rsidP="005C175C">
      <w:r w:rsidRPr="00A5512B">
        <w:t xml:space="preserve">Chemical and biological </w:t>
      </w:r>
      <w:r w:rsidR="00784301" w:rsidRPr="00A5512B">
        <w:t>measurements</w:t>
      </w:r>
      <w:r w:rsidR="00784301">
        <w:t xml:space="preserve"> are </w:t>
      </w:r>
      <w:r w:rsidR="006415DA">
        <w:t xml:space="preserve">also </w:t>
      </w:r>
      <w:r w:rsidR="00784301">
        <w:t>used throughout the economy, including for</w:t>
      </w:r>
      <w:r w:rsidRPr="00A5512B">
        <w:t xml:space="preserve"> healthcare, food safety,</w:t>
      </w:r>
      <w:r w:rsidR="00AB0604">
        <w:t xml:space="preserve"> law </w:t>
      </w:r>
      <w:r w:rsidR="003404DF">
        <w:t>enforcement</w:t>
      </w:r>
      <w:r w:rsidRPr="00A5512B">
        <w:t xml:space="preserve"> and environmental monitoring.</w:t>
      </w:r>
      <w:r>
        <w:t xml:space="preserve"> Confidence in chemical and biological measurement is underpinned by the use of </w:t>
      </w:r>
      <w:r w:rsidR="009C4410">
        <w:t>certified</w:t>
      </w:r>
      <w:r w:rsidR="00784301">
        <w:t xml:space="preserve"> </w:t>
      </w:r>
      <w:r>
        <w:t xml:space="preserve">reference </w:t>
      </w:r>
      <w:r w:rsidRPr="00A6708B">
        <w:t>materials</w:t>
      </w:r>
      <w:r w:rsidR="009C4410" w:rsidRPr="00A6708B">
        <w:t xml:space="preserve"> (CRMs)</w:t>
      </w:r>
      <w:r w:rsidRPr="00A6708B">
        <w:t xml:space="preserve">. </w:t>
      </w:r>
      <w:r w:rsidR="009C4410" w:rsidRPr="00A6708B">
        <w:t>NMI produces CRMs and develops high</w:t>
      </w:r>
      <w:r w:rsidR="007902CE">
        <w:t>-</w:t>
      </w:r>
      <w:r w:rsidR="009C4410" w:rsidRPr="00A6708B">
        <w:t>accuracy reference measurement pr</w:t>
      </w:r>
      <w:r w:rsidR="006415DA" w:rsidRPr="00A6708B">
        <w:t>o</w:t>
      </w:r>
      <w:r w:rsidR="009C4410" w:rsidRPr="00A6708B">
        <w:t xml:space="preserve">cedures. </w:t>
      </w:r>
    </w:p>
    <w:p w14:paraId="2576E849" w14:textId="77777777" w:rsidR="00B53FBB" w:rsidRDefault="00B53FBB">
      <w:pPr>
        <w:spacing w:after="200"/>
      </w:pPr>
      <w:r>
        <w:br w:type="page"/>
      </w:r>
    </w:p>
    <w:p w14:paraId="080F209A" w14:textId="77777777" w:rsidR="005C175C" w:rsidRDefault="005C175C" w:rsidP="005C175C"/>
    <w:p w14:paraId="3597DA11" w14:textId="76BF693F" w:rsidR="005C175C" w:rsidRPr="00E07DC8" w:rsidRDefault="005C175C" w:rsidP="005C175C">
      <w:pPr>
        <w:pStyle w:val="Casestudy"/>
        <w:rPr>
          <w:sz w:val="22"/>
          <w:szCs w:val="20"/>
        </w:rPr>
      </w:pPr>
      <w:r w:rsidRPr="004F6CB0">
        <w:t xml:space="preserve">A </w:t>
      </w:r>
      <w:r w:rsidR="003E38C7">
        <w:t xml:space="preserve">CRM </w:t>
      </w:r>
      <w:r w:rsidRPr="004F6CB0">
        <w:t xml:space="preserve">of </w:t>
      </w:r>
      <w:r w:rsidR="008673DA">
        <w:t xml:space="preserve">the major metabolite of </w:t>
      </w:r>
      <w:r w:rsidR="003A4AF9">
        <w:t>testosterone</w:t>
      </w:r>
      <w:r w:rsidR="0023317C">
        <w:t xml:space="preserve">, with </w:t>
      </w:r>
      <w:r w:rsidR="002F6236">
        <w:t>certified</w:t>
      </w:r>
      <w:r w:rsidR="0023317C">
        <w:t xml:space="preserve"> purity,</w:t>
      </w:r>
      <w:r w:rsidRPr="004F6CB0">
        <w:t xml:space="preserve"> is produced by the NMI</w:t>
      </w:r>
      <w:r w:rsidR="0023317C">
        <w:t xml:space="preserve">. </w:t>
      </w:r>
      <w:r w:rsidR="003A4AF9">
        <w:t xml:space="preserve">Anti-doping </w:t>
      </w:r>
      <w:r w:rsidR="0023317C">
        <w:t>laboratories</w:t>
      </w:r>
      <w:r w:rsidRPr="004F6CB0">
        <w:t xml:space="preserve"> </w:t>
      </w:r>
      <w:r w:rsidR="009C4410">
        <w:t xml:space="preserve">around </w:t>
      </w:r>
      <w:r w:rsidR="003A4AF9">
        <w:t>the world</w:t>
      </w:r>
      <w:r w:rsidR="009C4410">
        <w:t xml:space="preserve"> </w:t>
      </w:r>
      <w:r w:rsidRPr="004F6CB0">
        <w:t xml:space="preserve">calibrate </w:t>
      </w:r>
      <w:r w:rsidR="0023317C">
        <w:t xml:space="preserve">their analytical instruments </w:t>
      </w:r>
      <w:r w:rsidR="00AB0604">
        <w:t xml:space="preserve">using </w:t>
      </w:r>
      <w:r w:rsidR="00782018">
        <w:t>a</w:t>
      </w:r>
      <w:r w:rsidR="00BF2D61">
        <w:t xml:space="preserve"> </w:t>
      </w:r>
      <w:r w:rsidR="003E38C7">
        <w:t>CRM</w:t>
      </w:r>
      <w:r w:rsidR="008611C3">
        <w:t xml:space="preserve">. </w:t>
      </w:r>
      <w:r w:rsidR="003404DF">
        <w:t>The</w:t>
      </w:r>
      <w:r w:rsidR="00926647">
        <w:t>se</w:t>
      </w:r>
      <w:r w:rsidR="003404DF">
        <w:t xml:space="preserve"> instrument</w:t>
      </w:r>
      <w:r w:rsidR="00926647">
        <w:t>s</w:t>
      </w:r>
      <w:r w:rsidR="003404DF">
        <w:t xml:space="preserve"> compare</w:t>
      </w:r>
      <w:r w:rsidR="008611C3" w:rsidRPr="004F6CB0">
        <w:t xml:space="preserve"> the </w:t>
      </w:r>
      <w:r w:rsidR="003A4AF9">
        <w:t>extract from an athlete’s urine</w:t>
      </w:r>
      <w:r w:rsidR="008611C3" w:rsidRPr="004F6CB0">
        <w:t xml:space="preserve"> </w:t>
      </w:r>
      <w:r w:rsidR="008611C3">
        <w:t xml:space="preserve">to </w:t>
      </w:r>
      <w:r w:rsidR="008611C3" w:rsidRPr="004F6CB0">
        <w:t>the reference material</w:t>
      </w:r>
      <w:r w:rsidR="008611C3">
        <w:t>.</w:t>
      </w:r>
      <w:r w:rsidR="003404DF">
        <w:t xml:space="preserve"> </w:t>
      </w:r>
      <w:r w:rsidR="008611C3">
        <w:t>The instruments</w:t>
      </w:r>
      <w:r w:rsidR="00AB0604" w:rsidRPr="004F6CB0">
        <w:t xml:space="preserve"> </w:t>
      </w:r>
      <w:r w:rsidR="00926647">
        <w:t xml:space="preserve">also </w:t>
      </w:r>
      <w:r w:rsidRPr="004F6CB0">
        <w:t xml:space="preserve">identify whether </w:t>
      </w:r>
      <w:r w:rsidR="003A4AF9">
        <w:t>the</w:t>
      </w:r>
      <w:r w:rsidRPr="004F6CB0">
        <w:t xml:space="preserve"> </w:t>
      </w:r>
      <w:r w:rsidR="00926647">
        <w:t xml:space="preserve">detected </w:t>
      </w:r>
      <w:r w:rsidRPr="004F6CB0">
        <w:t>substance</w:t>
      </w:r>
      <w:r w:rsidR="003A4AF9">
        <w:t xml:space="preserve"> </w:t>
      </w:r>
      <w:r w:rsidRPr="004F6CB0">
        <w:t xml:space="preserve">is </w:t>
      </w:r>
      <w:r w:rsidR="003A4AF9">
        <w:t>testosterone</w:t>
      </w:r>
      <w:r w:rsidR="003E38C7">
        <w:t xml:space="preserve"> and then </w:t>
      </w:r>
      <w:r w:rsidR="00AB0604">
        <w:t>measure</w:t>
      </w:r>
      <w:r w:rsidR="003E38C7">
        <w:t xml:space="preserve"> the </w:t>
      </w:r>
      <w:r w:rsidR="00AB0604">
        <w:t>amount</w:t>
      </w:r>
      <w:r w:rsidR="003E38C7">
        <w:t xml:space="preserve"> of </w:t>
      </w:r>
      <w:r w:rsidR="003A4AF9">
        <w:t>testosterone in the urine</w:t>
      </w:r>
      <w:r w:rsidRPr="004F6CB0">
        <w:t>.</w:t>
      </w:r>
      <w:r w:rsidR="00BF2D61">
        <w:t xml:space="preserve"> Trusted </w:t>
      </w:r>
      <w:r w:rsidR="00AB0604">
        <w:t>measur</w:t>
      </w:r>
      <w:r w:rsidR="006415DA">
        <w:t>e</w:t>
      </w:r>
      <w:r w:rsidR="00AB0604">
        <w:t>ments</w:t>
      </w:r>
      <w:r w:rsidR="00BF2D61">
        <w:t xml:space="preserve"> </w:t>
      </w:r>
      <w:r w:rsidR="003E38C7">
        <w:t xml:space="preserve">using CRMs </w:t>
      </w:r>
      <w:r w:rsidR="00BF2D61">
        <w:t xml:space="preserve">enable effective </w:t>
      </w:r>
      <w:r w:rsidR="00920719">
        <w:t xml:space="preserve">anti-doping </w:t>
      </w:r>
      <w:r w:rsidR="00FF5A67">
        <w:t xml:space="preserve">controls </w:t>
      </w:r>
      <w:r w:rsidR="00920719">
        <w:t>in sport</w:t>
      </w:r>
      <w:r w:rsidR="00BF2D61">
        <w:t>.</w:t>
      </w:r>
    </w:p>
    <w:p w14:paraId="23651E1C" w14:textId="77777777" w:rsidR="00202F66" w:rsidRDefault="00623BB2" w:rsidP="008E36F3">
      <w:pPr>
        <w:rPr>
          <w:rFonts w:eastAsia="Times New Roman" w:cs="Times New Roman"/>
        </w:rPr>
      </w:pPr>
      <w:r w:rsidRPr="00623BB2">
        <w:rPr>
          <w:rFonts w:eastAsia="Times New Roman" w:cs="Times New Roman"/>
        </w:rPr>
        <w:t>The competence, capability and practices of entities involved in providing measurement services in Australia are supported through the standards and conformance system. This involves NMI collaborating with: the entity that issues documentary standards, Standards Australia; the body that accredits laboratories and technical facilities, the National Association of Testing Authorities (NATA); and the body that accredits certification and/or inspection bodies, the Joint Accreditation System of Australia and New Zealan</w:t>
      </w:r>
      <w:bookmarkStart w:id="35" w:name="_Toc529897219"/>
      <w:bookmarkStart w:id="36" w:name="_Toc530140682"/>
      <w:r w:rsidR="00202F66">
        <w:rPr>
          <w:rFonts w:eastAsia="Times New Roman" w:cs="Times New Roman"/>
        </w:rPr>
        <w:t>d (JAS-ANZ).</w:t>
      </w:r>
    </w:p>
    <w:p w14:paraId="46E8446F" w14:textId="77777777" w:rsidR="00202F66" w:rsidRDefault="00202F66">
      <w:pPr>
        <w:spacing w:after="200"/>
        <w:rPr>
          <w:rFonts w:eastAsia="Times New Roman" w:cs="Times New Roman"/>
        </w:rPr>
      </w:pPr>
      <w:r>
        <w:rPr>
          <w:rFonts w:eastAsia="Times New Roman" w:cs="Times New Roman"/>
        </w:rPr>
        <w:br w:type="page"/>
      </w:r>
      <w:bookmarkStart w:id="37" w:name="_GoBack"/>
      <w:bookmarkEnd w:id="37"/>
    </w:p>
    <w:p w14:paraId="02320FA1" w14:textId="6E597D7D" w:rsidR="0094585C" w:rsidRPr="009F52E4" w:rsidRDefault="0094585C" w:rsidP="0059566C">
      <w:pPr>
        <w:pStyle w:val="Heading1"/>
        <w:numPr>
          <w:ilvl w:val="0"/>
          <w:numId w:val="16"/>
        </w:numPr>
        <w:spacing w:after="240"/>
      </w:pPr>
      <w:bookmarkStart w:id="38" w:name="_Toc3468092"/>
      <w:r w:rsidRPr="009F52E4">
        <w:lastRenderedPageBreak/>
        <w:t xml:space="preserve">Legal </w:t>
      </w:r>
      <w:r>
        <w:t>m</w:t>
      </w:r>
      <w:r w:rsidRPr="009F52E4">
        <w:t xml:space="preserve">easurement </w:t>
      </w:r>
      <w:r>
        <w:t>s</w:t>
      </w:r>
      <w:r w:rsidRPr="009F52E4">
        <w:t>ystem</w:t>
      </w:r>
      <w:bookmarkEnd w:id="38"/>
    </w:p>
    <w:p w14:paraId="6C9924D0" w14:textId="124F5DA2" w:rsidR="00CE0CED" w:rsidRDefault="00A77148" w:rsidP="0094585C">
      <w:pPr>
        <w:spacing w:before="120"/>
      </w:pPr>
      <w:r>
        <w:t>The Act establishes a single</w:t>
      </w:r>
      <w:r>
        <w:rPr>
          <w:rStyle w:val="FootnoteReference"/>
        </w:rPr>
        <w:footnoteReference w:id="7"/>
      </w:r>
      <w:r>
        <w:t>, national legal measurement system for trade and non-trade (legal) purposes</w:t>
      </w:r>
      <w:r w:rsidR="000A41A9">
        <w:rPr>
          <w:rStyle w:val="FootnoteReference"/>
        </w:rPr>
        <w:footnoteReference w:id="8"/>
      </w:r>
      <w:r>
        <w:t>.</w:t>
      </w:r>
      <w:r w:rsidR="000A41A9">
        <w:t xml:space="preserve"> </w:t>
      </w:r>
      <w:r>
        <w:t>Mechanisms for achieving traceability for legal and trade measurements are described in the Act. Most of the text in the Act itself prescribes matters relevant to legal and trade measurement.</w:t>
      </w:r>
    </w:p>
    <w:p w14:paraId="4B376695" w14:textId="1F848E9B" w:rsidR="0094585C" w:rsidRDefault="00C06F48" w:rsidP="0094585C">
      <w:pPr>
        <w:spacing w:before="120"/>
        <w:rPr>
          <w:rFonts w:cs="Arial"/>
          <w:szCs w:val="20"/>
        </w:rPr>
      </w:pPr>
      <w:r>
        <w:rPr>
          <w:rFonts w:cs="Arial"/>
          <w:szCs w:val="20"/>
        </w:rPr>
        <w:t>Ensuring measurements used in trade are defensible is a key objective of the legal measurement framework</w:t>
      </w:r>
      <w:r w:rsidR="0094585C">
        <w:rPr>
          <w:rFonts w:cs="Arial"/>
          <w:szCs w:val="20"/>
        </w:rPr>
        <w:t xml:space="preserve">. The Act establishes a framework for ensuring that measuring instruments used for trade are verified, used in a way that gives </w:t>
      </w:r>
      <w:r w:rsidR="00103DF5">
        <w:rPr>
          <w:rFonts w:cs="Arial"/>
          <w:szCs w:val="20"/>
        </w:rPr>
        <w:t>a</w:t>
      </w:r>
      <w:r w:rsidR="000E504B">
        <w:rPr>
          <w:rFonts w:cs="Arial"/>
          <w:szCs w:val="20"/>
        </w:rPr>
        <w:t>n</w:t>
      </w:r>
      <w:r w:rsidR="00103DF5">
        <w:rPr>
          <w:rFonts w:cs="Arial"/>
          <w:szCs w:val="20"/>
        </w:rPr>
        <w:t xml:space="preserve"> </w:t>
      </w:r>
      <w:r w:rsidR="0094585C">
        <w:rPr>
          <w:rFonts w:cs="Arial"/>
          <w:szCs w:val="20"/>
        </w:rPr>
        <w:t>accurate measurement, and are accurate in themselves. The Act establishes the related offences for non-compliance</w:t>
      </w:r>
      <w:r>
        <w:rPr>
          <w:rStyle w:val="FootnoteReference"/>
          <w:rFonts w:cs="Arial"/>
          <w:szCs w:val="20"/>
        </w:rPr>
        <w:footnoteReference w:id="9"/>
      </w:r>
      <w:r w:rsidR="006E0F9C">
        <w:rPr>
          <w:rFonts w:cs="Arial"/>
          <w:szCs w:val="20"/>
        </w:rPr>
        <w:t>.</w:t>
      </w:r>
      <w:r w:rsidDel="00C06F48">
        <w:rPr>
          <w:rStyle w:val="FootnoteReference"/>
          <w:rFonts w:cs="Arial"/>
          <w:szCs w:val="20"/>
        </w:rPr>
        <w:t xml:space="preserve"> </w:t>
      </w:r>
    </w:p>
    <w:p w14:paraId="2767348D" w14:textId="5B02141C" w:rsidR="0094585C" w:rsidRDefault="0094585C" w:rsidP="0094585C">
      <w:pPr>
        <w:spacing w:before="120"/>
        <w:rPr>
          <w:rFonts w:cs="Arial"/>
          <w:szCs w:val="20"/>
        </w:rPr>
      </w:pPr>
      <w:r>
        <w:rPr>
          <w:rFonts w:cs="Arial"/>
          <w:szCs w:val="20"/>
        </w:rPr>
        <w:t>The Act also aims to ensure that chemical and biological measurements carried out on traded commodities</w:t>
      </w:r>
      <w:r w:rsidR="00F42FA8">
        <w:rPr>
          <w:rFonts w:cs="Arial"/>
          <w:szCs w:val="20"/>
        </w:rPr>
        <w:t>,</w:t>
      </w:r>
      <w:r>
        <w:rPr>
          <w:rFonts w:cs="Arial"/>
          <w:szCs w:val="20"/>
        </w:rPr>
        <w:t xml:space="preserve"> such as natural gas or food</w:t>
      </w:r>
      <w:r w:rsidR="00F42FA8">
        <w:rPr>
          <w:rFonts w:cs="Arial"/>
          <w:szCs w:val="20"/>
        </w:rPr>
        <w:t>,</w:t>
      </w:r>
      <w:r>
        <w:rPr>
          <w:rFonts w:cs="Arial"/>
          <w:szCs w:val="20"/>
        </w:rPr>
        <w:t xml:space="preserve"> are traceable. </w:t>
      </w:r>
      <w:r w:rsidR="008B4111">
        <w:rPr>
          <w:rFonts w:cs="Arial"/>
          <w:szCs w:val="20"/>
        </w:rPr>
        <w:t xml:space="preserve">Currently, however, there is a narrow scope of recognition of CRMs in the Act, which is discussed later in </w:t>
      </w:r>
      <w:r w:rsidR="00782018">
        <w:rPr>
          <w:rFonts w:cs="Arial"/>
          <w:szCs w:val="20"/>
        </w:rPr>
        <w:t>the paper</w:t>
      </w:r>
      <w:r>
        <w:rPr>
          <w:rFonts w:cs="Arial"/>
          <w:szCs w:val="20"/>
        </w:rPr>
        <w:t>.</w:t>
      </w:r>
    </w:p>
    <w:p w14:paraId="3D57D792" w14:textId="4E4CC4C2" w:rsidR="0094585C" w:rsidRDefault="0094585C" w:rsidP="0094585C">
      <w:pPr>
        <w:spacing w:before="120"/>
        <w:rPr>
          <w:rFonts w:cs="Arial"/>
          <w:szCs w:val="20"/>
        </w:rPr>
      </w:pPr>
      <w:r>
        <w:rPr>
          <w:rFonts w:cs="Arial"/>
          <w:szCs w:val="20"/>
        </w:rPr>
        <w:t>Measurements can be used for other legal purposes besides trade</w:t>
      </w:r>
      <w:r w:rsidRPr="00F90520">
        <w:rPr>
          <w:rFonts w:cs="Arial"/>
          <w:szCs w:val="20"/>
        </w:rPr>
        <w:t>.</w:t>
      </w:r>
      <w:r>
        <w:rPr>
          <w:rFonts w:cs="Arial"/>
          <w:szCs w:val="20"/>
        </w:rPr>
        <w:t xml:space="preserve"> The Act</w:t>
      </w:r>
      <w:r w:rsidR="00831D68">
        <w:rPr>
          <w:rFonts w:cs="Arial"/>
          <w:szCs w:val="20"/>
        </w:rPr>
        <w:t xml:space="preserve"> therefore</w:t>
      </w:r>
      <w:r>
        <w:rPr>
          <w:rFonts w:cs="Arial"/>
          <w:szCs w:val="20"/>
        </w:rPr>
        <w:t xml:space="preserve"> establishes mechanisms for the approval of </w:t>
      </w:r>
      <w:r w:rsidR="00831D68">
        <w:rPr>
          <w:rFonts w:cs="Arial"/>
          <w:szCs w:val="20"/>
        </w:rPr>
        <w:t>a</w:t>
      </w:r>
      <w:r w:rsidR="003D72BE">
        <w:rPr>
          <w:rFonts w:cs="Arial"/>
          <w:szCs w:val="20"/>
        </w:rPr>
        <w:t xml:space="preserve"> measuring </w:t>
      </w:r>
      <w:r>
        <w:rPr>
          <w:rFonts w:cs="Arial"/>
          <w:szCs w:val="20"/>
        </w:rPr>
        <w:t xml:space="preserve">instrument </w:t>
      </w:r>
      <w:r w:rsidR="003D72BE">
        <w:rPr>
          <w:rFonts w:cs="Arial"/>
          <w:szCs w:val="20"/>
        </w:rPr>
        <w:t xml:space="preserve">and for its certification </w:t>
      </w:r>
      <w:r>
        <w:rPr>
          <w:rFonts w:cs="Arial"/>
          <w:szCs w:val="20"/>
        </w:rPr>
        <w:t>to demonstrate traceability under the Act</w:t>
      </w:r>
      <w:r w:rsidR="00F97DA1">
        <w:rPr>
          <w:rStyle w:val="FootnoteReference"/>
          <w:rFonts w:cs="Arial"/>
          <w:szCs w:val="20"/>
        </w:rPr>
        <w:footnoteReference w:id="10"/>
      </w:r>
      <w:r>
        <w:rPr>
          <w:rFonts w:cs="Arial"/>
          <w:szCs w:val="20"/>
        </w:rPr>
        <w:t xml:space="preserve">, for </w:t>
      </w:r>
      <w:r w:rsidR="00434A2F">
        <w:rPr>
          <w:rFonts w:cs="Arial"/>
          <w:szCs w:val="20"/>
        </w:rPr>
        <w:t xml:space="preserve">purposes such as </w:t>
      </w:r>
      <w:r>
        <w:rPr>
          <w:rFonts w:cs="Arial"/>
          <w:szCs w:val="20"/>
        </w:rPr>
        <w:t>law enforcement measurements</w:t>
      </w:r>
      <w:r w:rsidR="00035DF5">
        <w:rPr>
          <w:rFonts w:cs="Arial"/>
          <w:szCs w:val="20"/>
        </w:rPr>
        <w:t xml:space="preserve">. For example, </w:t>
      </w:r>
      <w:r w:rsidR="00434A2F" w:rsidRPr="00F90520">
        <w:rPr>
          <w:rFonts w:cs="Arial"/>
          <w:szCs w:val="20"/>
        </w:rPr>
        <w:t>traffic speed measurement</w:t>
      </w:r>
      <w:r w:rsidR="00434A2F">
        <w:rPr>
          <w:rFonts w:cs="Arial"/>
          <w:szCs w:val="20"/>
        </w:rPr>
        <w:t>s</w:t>
      </w:r>
      <w:r w:rsidR="00434A2F" w:rsidRPr="00F90520">
        <w:rPr>
          <w:rFonts w:cs="Arial"/>
          <w:szCs w:val="20"/>
        </w:rPr>
        <w:t xml:space="preserve"> that directly inform penalties for excess speed</w:t>
      </w:r>
      <w:r w:rsidR="00035DF5">
        <w:rPr>
          <w:rFonts w:cs="Arial"/>
          <w:szCs w:val="20"/>
        </w:rPr>
        <w:t xml:space="preserve"> and</w:t>
      </w:r>
      <w:r w:rsidR="00434A2F" w:rsidRPr="00F90520">
        <w:rPr>
          <w:rFonts w:cs="Arial"/>
          <w:szCs w:val="20"/>
        </w:rPr>
        <w:t xml:space="preserve"> </w:t>
      </w:r>
      <w:r w:rsidR="00434A2F">
        <w:rPr>
          <w:rFonts w:cs="Arial"/>
          <w:szCs w:val="20"/>
        </w:rPr>
        <w:t>breath</w:t>
      </w:r>
      <w:r w:rsidR="00434A2F" w:rsidRPr="00F90520">
        <w:rPr>
          <w:rFonts w:cs="Arial"/>
          <w:szCs w:val="20"/>
        </w:rPr>
        <w:t xml:space="preserve"> alcohol concentration measured by Evidential Breath Analysers (EBAs) </w:t>
      </w:r>
      <w:r w:rsidR="008E36F3">
        <w:rPr>
          <w:rFonts w:cs="Arial"/>
          <w:szCs w:val="20"/>
        </w:rPr>
        <w:t xml:space="preserve">that </w:t>
      </w:r>
      <w:r w:rsidR="00434A2F" w:rsidRPr="00F90520">
        <w:rPr>
          <w:rFonts w:cs="Arial"/>
          <w:szCs w:val="20"/>
        </w:rPr>
        <w:t>determine an offence related to drink-driving if alcohol concentration exceeds certain levels)</w:t>
      </w:r>
      <w:r>
        <w:rPr>
          <w:rFonts w:cs="Arial"/>
          <w:szCs w:val="20"/>
        </w:rPr>
        <w:t>.</w:t>
      </w:r>
    </w:p>
    <w:p w14:paraId="08F02360" w14:textId="73928EE2" w:rsidR="0094585C" w:rsidRPr="005E043B" w:rsidRDefault="0094585C" w:rsidP="0094585C">
      <w:pPr>
        <w:pStyle w:val="Casestudy"/>
      </w:pPr>
      <w:r w:rsidRPr="00C8606C">
        <w:t>Th</w:t>
      </w:r>
      <w:r w:rsidR="008E36F3">
        <w:t>e</w:t>
      </w:r>
      <w:r w:rsidRPr="00C8606C">
        <w:t xml:space="preserve"> </w:t>
      </w:r>
      <w:r w:rsidR="008E36F3">
        <w:t xml:space="preserve">Review </w:t>
      </w:r>
      <w:r w:rsidR="00035DF5">
        <w:t xml:space="preserve">secretariat </w:t>
      </w:r>
      <w:r w:rsidRPr="00C8606C">
        <w:t>seeks views on</w:t>
      </w:r>
      <w:r w:rsidR="00811EC6">
        <w:t xml:space="preserve"> the</w:t>
      </w:r>
      <w:r w:rsidRPr="00C8606C">
        <w:t xml:space="preserve"> appropriate</w:t>
      </w:r>
      <w:r w:rsidR="00811EC6">
        <w:t>ness</w:t>
      </w:r>
      <w:r w:rsidRPr="00C8606C">
        <w:t>, effective</w:t>
      </w:r>
      <w:r w:rsidR="00811EC6">
        <w:t>ness</w:t>
      </w:r>
      <w:r w:rsidRPr="00C8606C">
        <w:t xml:space="preserve"> and efficien</w:t>
      </w:r>
      <w:r w:rsidR="00811EC6">
        <w:t xml:space="preserve">cy of the legal framework </w:t>
      </w:r>
      <w:r>
        <w:t>in giving</w:t>
      </w:r>
      <w:r w:rsidRPr="00C8606C">
        <w:t xml:space="preserve"> legal validity to measurement</w:t>
      </w:r>
      <w:r>
        <w:t>.</w:t>
      </w:r>
    </w:p>
    <w:p w14:paraId="4C7CB4C7" w14:textId="0D6D89AB" w:rsidR="0094585C" w:rsidRPr="00035DF5" w:rsidRDefault="0094585C" w:rsidP="0059566C">
      <w:pPr>
        <w:pStyle w:val="Heading2"/>
        <w:numPr>
          <w:ilvl w:val="1"/>
          <w:numId w:val="16"/>
        </w:numPr>
        <w:ind w:hanging="792"/>
      </w:pPr>
      <w:bookmarkStart w:id="39" w:name="_Toc3468093"/>
      <w:r w:rsidRPr="00035DF5">
        <w:t>Current approach</w:t>
      </w:r>
      <w:bookmarkEnd w:id="39"/>
    </w:p>
    <w:p w14:paraId="6730239C" w14:textId="5162F592" w:rsidR="0094585C" w:rsidRPr="005E043B" w:rsidRDefault="0094585C" w:rsidP="0094585C">
      <w:pPr>
        <w:spacing w:before="120"/>
        <w:rPr>
          <w:rFonts w:asciiTheme="majorHAnsi" w:hAnsiTheme="majorHAnsi"/>
          <w:szCs w:val="20"/>
        </w:rPr>
      </w:pPr>
      <w:r>
        <w:rPr>
          <w:rFonts w:asciiTheme="majorHAnsi" w:hAnsiTheme="majorHAnsi" w:cstheme="majorHAnsi"/>
          <w:szCs w:val="20"/>
        </w:rPr>
        <w:t>T</w:t>
      </w:r>
      <w:r>
        <w:rPr>
          <w:rFonts w:asciiTheme="majorHAnsi" w:hAnsiTheme="majorHAnsi"/>
          <w:szCs w:val="20"/>
        </w:rPr>
        <w:t xml:space="preserve">he legal measurement system uses </w:t>
      </w:r>
      <w:r w:rsidRPr="005E043B">
        <w:rPr>
          <w:rFonts w:asciiTheme="majorHAnsi" w:hAnsiTheme="majorHAnsi"/>
          <w:szCs w:val="20"/>
        </w:rPr>
        <w:t>the following mechanisms</w:t>
      </w:r>
      <w:r>
        <w:rPr>
          <w:rFonts w:asciiTheme="majorHAnsi" w:hAnsiTheme="majorHAnsi"/>
          <w:szCs w:val="20"/>
        </w:rPr>
        <w:t xml:space="preserve"> to make measurements traceable and legally defensible</w:t>
      </w:r>
      <w:r w:rsidRPr="005E043B">
        <w:rPr>
          <w:rFonts w:asciiTheme="majorHAnsi" w:hAnsiTheme="majorHAnsi"/>
          <w:szCs w:val="20"/>
        </w:rPr>
        <w:t>:</w:t>
      </w:r>
    </w:p>
    <w:p w14:paraId="3CD31866" w14:textId="5880676B" w:rsidR="0094585C" w:rsidRDefault="0094585C" w:rsidP="0059566C">
      <w:pPr>
        <w:pStyle w:val="ListParagraph"/>
        <w:numPr>
          <w:ilvl w:val="0"/>
          <w:numId w:val="5"/>
        </w:numPr>
        <w:rPr>
          <w:rFonts w:asciiTheme="majorHAnsi" w:hAnsiTheme="majorHAnsi"/>
          <w:szCs w:val="20"/>
        </w:rPr>
      </w:pPr>
      <w:r>
        <w:rPr>
          <w:rFonts w:asciiTheme="majorHAnsi" w:hAnsiTheme="majorHAnsi"/>
          <w:szCs w:val="20"/>
        </w:rPr>
        <w:t xml:space="preserve">use of </w:t>
      </w:r>
      <w:r w:rsidRPr="005E043B">
        <w:rPr>
          <w:rFonts w:asciiTheme="majorHAnsi" w:hAnsiTheme="majorHAnsi"/>
          <w:szCs w:val="20"/>
        </w:rPr>
        <w:t xml:space="preserve">standards of measurement </w:t>
      </w:r>
      <w:r>
        <w:rPr>
          <w:rFonts w:asciiTheme="majorHAnsi" w:hAnsiTheme="majorHAnsi"/>
          <w:szCs w:val="20"/>
        </w:rPr>
        <w:t>which are traceable to the national standards</w:t>
      </w:r>
      <w:r w:rsidR="00807875">
        <w:rPr>
          <w:rStyle w:val="FootnoteReference"/>
          <w:rFonts w:asciiTheme="majorHAnsi" w:hAnsiTheme="majorHAnsi"/>
          <w:szCs w:val="20"/>
        </w:rPr>
        <w:footnoteReference w:id="11"/>
      </w:r>
    </w:p>
    <w:p w14:paraId="095BDD25" w14:textId="510C47DD" w:rsidR="00823928" w:rsidRPr="005E043B" w:rsidRDefault="00CE0CED" w:rsidP="0059566C">
      <w:pPr>
        <w:pStyle w:val="ListParagraph"/>
        <w:numPr>
          <w:ilvl w:val="0"/>
          <w:numId w:val="5"/>
        </w:numPr>
        <w:rPr>
          <w:rFonts w:asciiTheme="majorHAnsi" w:hAnsiTheme="majorHAnsi"/>
          <w:szCs w:val="20"/>
        </w:rPr>
      </w:pPr>
      <w:r>
        <w:rPr>
          <w:rFonts w:asciiTheme="majorHAnsi" w:hAnsiTheme="majorHAnsi"/>
          <w:szCs w:val="20"/>
        </w:rPr>
        <w:t>legal units of measurement using a</w:t>
      </w:r>
      <w:r w:rsidR="00823928">
        <w:rPr>
          <w:rFonts w:asciiTheme="majorHAnsi" w:hAnsiTheme="majorHAnsi"/>
          <w:szCs w:val="20"/>
        </w:rPr>
        <w:t>greed terminology</w:t>
      </w:r>
      <w:r w:rsidR="00F23DB6">
        <w:rPr>
          <w:rStyle w:val="FootnoteReference"/>
          <w:rFonts w:asciiTheme="majorHAnsi" w:hAnsiTheme="majorHAnsi"/>
          <w:szCs w:val="20"/>
        </w:rPr>
        <w:footnoteReference w:id="12"/>
      </w:r>
    </w:p>
    <w:p w14:paraId="35A9E465" w14:textId="5F2DDAE0" w:rsidR="0094585C" w:rsidRPr="005E043B" w:rsidRDefault="00811EC6" w:rsidP="0059566C">
      <w:pPr>
        <w:pStyle w:val="ListParagraph"/>
        <w:numPr>
          <w:ilvl w:val="0"/>
          <w:numId w:val="5"/>
        </w:numPr>
        <w:rPr>
          <w:rFonts w:asciiTheme="majorHAnsi" w:hAnsiTheme="majorHAnsi"/>
          <w:szCs w:val="20"/>
        </w:rPr>
      </w:pPr>
      <w:r>
        <w:rPr>
          <w:rFonts w:asciiTheme="majorHAnsi" w:hAnsiTheme="majorHAnsi"/>
          <w:szCs w:val="20"/>
        </w:rPr>
        <w:t>provision</w:t>
      </w:r>
      <w:r w:rsidRPr="005E043B">
        <w:rPr>
          <w:rFonts w:asciiTheme="majorHAnsi" w:hAnsiTheme="majorHAnsi"/>
          <w:szCs w:val="20"/>
        </w:rPr>
        <w:t xml:space="preserve"> </w:t>
      </w:r>
      <w:r w:rsidR="0094585C" w:rsidRPr="005E043B">
        <w:rPr>
          <w:rFonts w:asciiTheme="majorHAnsi" w:hAnsiTheme="majorHAnsi"/>
          <w:szCs w:val="20"/>
        </w:rPr>
        <w:t>to verify standards of measurement</w:t>
      </w:r>
      <w:r w:rsidR="00807875">
        <w:rPr>
          <w:rStyle w:val="FootnoteReference"/>
          <w:rFonts w:asciiTheme="majorHAnsi" w:hAnsiTheme="majorHAnsi"/>
          <w:szCs w:val="20"/>
        </w:rPr>
        <w:footnoteReference w:id="13"/>
      </w:r>
    </w:p>
    <w:p w14:paraId="51ABD028" w14:textId="7D32AB4C" w:rsidR="0094585C" w:rsidRPr="005E043B" w:rsidRDefault="0094585C" w:rsidP="0059566C">
      <w:pPr>
        <w:pStyle w:val="ListParagraph"/>
        <w:numPr>
          <w:ilvl w:val="0"/>
          <w:numId w:val="5"/>
        </w:numPr>
        <w:rPr>
          <w:rFonts w:asciiTheme="majorHAnsi" w:hAnsiTheme="majorHAnsi"/>
          <w:szCs w:val="20"/>
        </w:rPr>
      </w:pPr>
      <w:r w:rsidRPr="005E043B">
        <w:rPr>
          <w:rFonts w:asciiTheme="majorHAnsi" w:hAnsiTheme="majorHAnsi"/>
          <w:szCs w:val="20"/>
        </w:rPr>
        <w:t xml:space="preserve">provision to certify </w:t>
      </w:r>
      <w:r>
        <w:rPr>
          <w:rFonts w:asciiTheme="majorHAnsi" w:hAnsiTheme="majorHAnsi"/>
          <w:szCs w:val="20"/>
        </w:rPr>
        <w:t xml:space="preserve">a </w:t>
      </w:r>
      <w:r w:rsidRPr="005E043B">
        <w:rPr>
          <w:rFonts w:asciiTheme="majorHAnsi" w:hAnsiTheme="majorHAnsi"/>
          <w:szCs w:val="20"/>
        </w:rPr>
        <w:t>reference material</w:t>
      </w:r>
      <w:r w:rsidR="00807875">
        <w:rPr>
          <w:rStyle w:val="FootnoteReference"/>
          <w:rFonts w:asciiTheme="majorHAnsi" w:hAnsiTheme="majorHAnsi"/>
          <w:szCs w:val="20"/>
        </w:rPr>
        <w:footnoteReference w:id="14"/>
      </w:r>
    </w:p>
    <w:p w14:paraId="475D63B9" w14:textId="1BE28057" w:rsidR="0094585C" w:rsidRDefault="0094585C" w:rsidP="0059566C">
      <w:pPr>
        <w:pStyle w:val="ListParagraph"/>
        <w:numPr>
          <w:ilvl w:val="0"/>
          <w:numId w:val="5"/>
        </w:numPr>
        <w:rPr>
          <w:rFonts w:asciiTheme="majorHAnsi" w:hAnsiTheme="majorHAnsi"/>
          <w:szCs w:val="20"/>
        </w:rPr>
      </w:pPr>
      <w:r w:rsidRPr="00BD2267">
        <w:rPr>
          <w:rFonts w:asciiTheme="majorHAnsi" w:hAnsiTheme="majorHAnsi"/>
          <w:szCs w:val="20"/>
        </w:rPr>
        <w:t>appointment of competent authorities to verify standards of measurement and physical quantities of artefacts</w:t>
      </w:r>
      <w:r w:rsidR="00C5200A">
        <w:rPr>
          <w:rStyle w:val="FootnoteReference"/>
          <w:rFonts w:asciiTheme="majorHAnsi" w:hAnsiTheme="majorHAnsi"/>
          <w:szCs w:val="20"/>
        </w:rPr>
        <w:footnoteReference w:id="15"/>
      </w:r>
      <w:r w:rsidRPr="00BD2267">
        <w:rPr>
          <w:rFonts w:asciiTheme="majorHAnsi" w:hAnsiTheme="majorHAnsi"/>
          <w:szCs w:val="20"/>
        </w:rPr>
        <w:t xml:space="preserve">  </w:t>
      </w:r>
    </w:p>
    <w:p w14:paraId="590CFD3E" w14:textId="5B625BA7" w:rsidR="0094585C" w:rsidRPr="00C32872" w:rsidRDefault="0094585C" w:rsidP="0059566C">
      <w:pPr>
        <w:pStyle w:val="ListParagraph"/>
        <w:numPr>
          <w:ilvl w:val="0"/>
          <w:numId w:val="5"/>
        </w:numPr>
        <w:rPr>
          <w:rFonts w:asciiTheme="majorHAnsi" w:hAnsiTheme="majorHAnsi"/>
          <w:szCs w:val="20"/>
        </w:rPr>
      </w:pPr>
      <w:r w:rsidRPr="000468C8">
        <w:rPr>
          <w:rFonts w:asciiTheme="majorHAnsi" w:hAnsiTheme="majorHAnsi"/>
          <w:szCs w:val="20"/>
        </w:rPr>
        <w:lastRenderedPageBreak/>
        <w:t>appointment of competent authorities to certify measuring instruments used for legal purposes</w:t>
      </w:r>
      <w:r w:rsidR="00D315B5" w:rsidRPr="00C32872">
        <w:rPr>
          <w:rStyle w:val="FootnoteReference"/>
          <w:rFonts w:asciiTheme="majorHAnsi" w:hAnsiTheme="majorHAnsi"/>
          <w:szCs w:val="20"/>
        </w:rPr>
        <w:footnoteReference w:id="16"/>
      </w:r>
      <w:r w:rsidRPr="00C32872">
        <w:rPr>
          <w:rFonts w:asciiTheme="majorHAnsi" w:hAnsiTheme="majorHAnsi"/>
          <w:szCs w:val="20"/>
        </w:rPr>
        <w:t xml:space="preserve"> </w:t>
      </w:r>
    </w:p>
    <w:p w14:paraId="625C10E2" w14:textId="401B4637" w:rsidR="0094585C" w:rsidRPr="00C32872" w:rsidRDefault="0094585C" w:rsidP="0059566C">
      <w:pPr>
        <w:pStyle w:val="ListParagraph"/>
        <w:numPr>
          <w:ilvl w:val="0"/>
          <w:numId w:val="5"/>
        </w:numPr>
        <w:rPr>
          <w:rFonts w:asciiTheme="majorHAnsi" w:hAnsiTheme="majorHAnsi"/>
          <w:szCs w:val="20"/>
        </w:rPr>
      </w:pPr>
      <w:r w:rsidRPr="00C32872">
        <w:rPr>
          <w:rFonts w:asciiTheme="majorHAnsi" w:hAnsiTheme="majorHAnsi"/>
          <w:szCs w:val="20"/>
        </w:rPr>
        <w:t>appointment of servicing licensees to verify measuring instruments used for trade</w:t>
      </w:r>
      <w:r w:rsidR="00F97DA1" w:rsidRPr="00C32872">
        <w:rPr>
          <w:rStyle w:val="FootnoteReference"/>
          <w:rFonts w:asciiTheme="majorHAnsi" w:hAnsiTheme="majorHAnsi"/>
          <w:szCs w:val="20"/>
        </w:rPr>
        <w:footnoteReference w:id="17"/>
      </w:r>
      <w:r w:rsidR="00035DF5">
        <w:rPr>
          <w:rFonts w:asciiTheme="majorHAnsi" w:hAnsiTheme="majorHAnsi"/>
          <w:szCs w:val="20"/>
        </w:rPr>
        <w:t>,</w:t>
      </w:r>
      <w:r w:rsidR="00F23DB6" w:rsidRPr="00C32872">
        <w:rPr>
          <w:rFonts w:asciiTheme="majorHAnsi" w:hAnsiTheme="majorHAnsi"/>
          <w:szCs w:val="20"/>
        </w:rPr>
        <w:t xml:space="preserve"> and</w:t>
      </w:r>
    </w:p>
    <w:p w14:paraId="01009462" w14:textId="58F2C6C0" w:rsidR="0094585C" w:rsidRPr="00C32872" w:rsidRDefault="005438C9" w:rsidP="0059566C">
      <w:pPr>
        <w:pStyle w:val="ListParagraph"/>
        <w:numPr>
          <w:ilvl w:val="0"/>
          <w:numId w:val="5"/>
        </w:numPr>
        <w:rPr>
          <w:rFonts w:asciiTheme="majorHAnsi" w:hAnsiTheme="majorHAnsi"/>
          <w:szCs w:val="20"/>
        </w:rPr>
      </w:pPr>
      <w:r w:rsidRPr="00C32872">
        <w:rPr>
          <w:rFonts w:asciiTheme="majorHAnsi" w:hAnsiTheme="majorHAnsi"/>
          <w:szCs w:val="20"/>
        </w:rPr>
        <w:t xml:space="preserve">issuing of </w:t>
      </w:r>
      <w:r w:rsidR="0094585C" w:rsidRPr="00C32872">
        <w:rPr>
          <w:rFonts w:asciiTheme="majorHAnsi" w:hAnsiTheme="majorHAnsi"/>
          <w:szCs w:val="20"/>
        </w:rPr>
        <w:t xml:space="preserve">certificates as legal documents attesting </w:t>
      </w:r>
      <w:r w:rsidR="00434A2F" w:rsidRPr="00C32872">
        <w:rPr>
          <w:rFonts w:asciiTheme="majorHAnsi" w:hAnsiTheme="majorHAnsi"/>
          <w:szCs w:val="20"/>
        </w:rPr>
        <w:t xml:space="preserve">that </w:t>
      </w:r>
      <w:r w:rsidR="0094585C" w:rsidRPr="00C32872">
        <w:rPr>
          <w:rFonts w:asciiTheme="majorHAnsi" w:hAnsiTheme="majorHAnsi"/>
          <w:szCs w:val="20"/>
        </w:rPr>
        <w:t>measurement</w:t>
      </w:r>
      <w:r w:rsidR="00434A2F" w:rsidRPr="00C32872">
        <w:rPr>
          <w:rFonts w:asciiTheme="majorHAnsi" w:hAnsiTheme="majorHAnsi"/>
          <w:szCs w:val="20"/>
        </w:rPr>
        <w:t>s are</w:t>
      </w:r>
      <w:r w:rsidR="0094585C" w:rsidRPr="00C32872">
        <w:rPr>
          <w:rFonts w:asciiTheme="majorHAnsi" w:hAnsiTheme="majorHAnsi"/>
          <w:szCs w:val="20"/>
        </w:rPr>
        <w:t xml:space="preserve"> traceable to specific standards with their uncertainties, and the fixing of marks to signal legal validity.</w:t>
      </w:r>
    </w:p>
    <w:p w14:paraId="0E4924C2" w14:textId="15C6F813" w:rsidR="0094585C" w:rsidRDefault="0094585C" w:rsidP="0094585C">
      <w:pPr>
        <w:rPr>
          <w:rFonts w:cstheme="majorHAnsi"/>
          <w:szCs w:val="20"/>
        </w:rPr>
      </w:pPr>
      <w:r>
        <w:rPr>
          <w:rFonts w:cstheme="majorHAnsi"/>
          <w:szCs w:val="20"/>
        </w:rPr>
        <w:t xml:space="preserve">To </w:t>
      </w:r>
      <w:r w:rsidR="007C674A">
        <w:rPr>
          <w:rFonts w:cstheme="majorHAnsi"/>
          <w:szCs w:val="20"/>
        </w:rPr>
        <w:t xml:space="preserve">facilitate </w:t>
      </w:r>
      <w:r>
        <w:rPr>
          <w:rFonts w:cstheme="majorHAnsi"/>
          <w:szCs w:val="20"/>
        </w:rPr>
        <w:t xml:space="preserve">traceability </w:t>
      </w:r>
      <w:r w:rsidRPr="004F6CB0">
        <w:rPr>
          <w:rFonts w:cstheme="majorHAnsi"/>
          <w:szCs w:val="20"/>
        </w:rPr>
        <w:t xml:space="preserve">for </w:t>
      </w:r>
      <w:r>
        <w:rPr>
          <w:rFonts w:cstheme="majorHAnsi"/>
          <w:szCs w:val="20"/>
        </w:rPr>
        <w:t xml:space="preserve">trade </w:t>
      </w:r>
      <w:r w:rsidRPr="004F6CB0">
        <w:rPr>
          <w:rFonts w:cstheme="majorHAnsi"/>
          <w:szCs w:val="20"/>
        </w:rPr>
        <w:t>measurements</w:t>
      </w:r>
      <w:r>
        <w:rPr>
          <w:rFonts w:cstheme="majorHAnsi"/>
          <w:szCs w:val="20"/>
        </w:rPr>
        <w:t xml:space="preserve">, </w:t>
      </w:r>
      <w:r w:rsidR="00EB587D">
        <w:rPr>
          <w:rFonts w:cstheme="majorHAnsi"/>
          <w:szCs w:val="20"/>
        </w:rPr>
        <w:t>t</w:t>
      </w:r>
      <w:r w:rsidR="007C674A">
        <w:rPr>
          <w:rFonts w:cstheme="majorHAnsi"/>
          <w:szCs w:val="20"/>
        </w:rPr>
        <w:t>he Act allows for persons to be l</w:t>
      </w:r>
      <w:r w:rsidR="00EB587D">
        <w:rPr>
          <w:rFonts w:cstheme="majorHAnsi"/>
          <w:szCs w:val="20"/>
        </w:rPr>
        <w:t>ic</w:t>
      </w:r>
      <w:r w:rsidR="007C674A">
        <w:rPr>
          <w:rFonts w:cstheme="majorHAnsi"/>
          <w:szCs w:val="20"/>
        </w:rPr>
        <w:t xml:space="preserve">ensed </w:t>
      </w:r>
      <w:r>
        <w:rPr>
          <w:rFonts w:cstheme="majorHAnsi"/>
          <w:szCs w:val="20"/>
        </w:rPr>
        <w:t xml:space="preserve">(Servicing Licensees) </w:t>
      </w:r>
      <w:r w:rsidRPr="004F6CB0">
        <w:rPr>
          <w:rFonts w:cstheme="majorHAnsi"/>
          <w:szCs w:val="20"/>
        </w:rPr>
        <w:t xml:space="preserve">to </w:t>
      </w:r>
      <w:r>
        <w:rPr>
          <w:rFonts w:cstheme="majorHAnsi"/>
          <w:szCs w:val="20"/>
        </w:rPr>
        <w:t>verify</w:t>
      </w:r>
      <w:r w:rsidR="00543F3B">
        <w:rPr>
          <w:rFonts w:cstheme="majorHAnsi"/>
          <w:szCs w:val="20"/>
        </w:rPr>
        <w:t xml:space="preserve"> </w:t>
      </w:r>
      <w:r>
        <w:rPr>
          <w:rFonts w:cstheme="majorHAnsi"/>
          <w:szCs w:val="20"/>
        </w:rPr>
        <w:t>measuring instruments used for trade</w:t>
      </w:r>
      <w:r w:rsidR="00BF3B54">
        <w:rPr>
          <w:rFonts w:cstheme="majorHAnsi"/>
          <w:szCs w:val="20"/>
        </w:rPr>
        <w:t xml:space="preserve"> </w:t>
      </w:r>
      <w:r w:rsidR="001853C7">
        <w:rPr>
          <w:rFonts w:cstheme="majorHAnsi"/>
          <w:szCs w:val="20"/>
        </w:rPr>
        <w:t>by testing with</w:t>
      </w:r>
      <w:r>
        <w:rPr>
          <w:rFonts w:cstheme="majorHAnsi"/>
          <w:szCs w:val="20"/>
        </w:rPr>
        <w:t xml:space="preserve"> reference </w:t>
      </w:r>
      <w:r w:rsidR="005E629E">
        <w:rPr>
          <w:rFonts w:cstheme="majorHAnsi"/>
          <w:szCs w:val="20"/>
        </w:rPr>
        <w:t xml:space="preserve">to </w:t>
      </w:r>
      <w:r>
        <w:rPr>
          <w:rFonts w:cstheme="majorHAnsi"/>
          <w:szCs w:val="20"/>
        </w:rPr>
        <w:t xml:space="preserve">weights and measures traceable to </w:t>
      </w:r>
      <w:r w:rsidR="006E0114">
        <w:rPr>
          <w:rFonts w:cstheme="majorHAnsi"/>
          <w:szCs w:val="20"/>
        </w:rPr>
        <w:t>nat</w:t>
      </w:r>
      <w:r>
        <w:rPr>
          <w:rFonts w:cstheme="majorHAnsi"/>
          <w:szCs w:val="20"/>
        </w:rPr>
        <w:t>ional standards</w:t>
      </w:r>
      <w:r w:rsidR="00F97DA1">
        <w:rPr>
          <w:rStyle w:val="FootnoteReference"/>
          <w:rFonts w:cstheme="majorHAnsi"/>
          <w:szCs w:val="20"/>
        </w:rPr>
        <w:footnoteReference w:id="18"/>
      </w:r>
      <w:r>
        <w:rPr>
          <w:rFonts w:cstheme="majorHAnsi"/>
          <w:szCs w:val="20"/>
        </w:rPr>
        <w:t>.</w:t>
      </w:r>
      <w:r w:rsidR="001853C7">
        <w:rPr>
          <w:rFonts w:cstheme="majorHAnsi"/>
          <w:szCs w:val="20"/>
        </w:rPr>
        <w:t xml:space="preserve"> </w:t>
      </w:r>
      <w:r>
        <w:rPr>
          <w:rFonts w:cstheme="majorHAnsi"/>
          <w:szCs w:val="20"/>
        </w:rPr>
        <w:t xml:space="preserve">Further discussion on this will be covered in the discussion papers: </w:t>
      </w:r>
      <w:r w:rsidRPr="004F6CB0">
        <w:rPr>
          <w:rFonts w:cstheme="majorHAnsi"/>
          <w:i/>
          <w:szCs w:val="20"/>
        </w:rPr>
        <w:t>Measuring Instruments</w:t>
      </w:r>
      <w:r>
        <w:rPr>
          <w:rFonts w:cstheme="majorHAnsi"/>
          <w:szCs w:val="20"/>
        </w:rPr>
        <w:t xml:space="preserve"> and</w:t>
      </w:r>
      <w:r>
        <w:rPr>
          <w:rFonts w:cstheme="majorHAnsi"/>
          <w:i/>
          <w:szCs w:val="20"/>
        </w:rPr>
        <w:t xml:space="preserve"> Third-Party Arrangements</w:t>
      </w:r>
      <w:r w:rsidR="00365418">
        <w:rPr>
          <w:rStyle w:val="FootnoteReference"/>
          <w:rFonts w:cstheme="majorHAnsi"/>
          <w:i/>
          <w:szCs w:val="20"/>
        </w:rPr>
        <w:footnoteReference w:id="19"/>
      </w:r>
      <w:r>
        <w:rPr>
          <w:rFonts w:cstheme="majorHAnsi"/>
          <w:szCs w:val="20"/>
        </w:rPr>
        <w:t>.</w:t>
      </w:r>
    </w:p>
    <w:p w14:paraId="7606161B" w14:textId="270C1922" w:rsidR="008E36F3" w:rsidRDefault="003B2CB4" w:rsidP="008E36F3">
      <w:pPr>
        <w:spacing w:before="120" w:line="240" w:lineRule="auto"/>
        <w:rPr>
          <w:rFonts w:asciiTheme="majorHAnsi" w:hAnsiTheme="majorHAnsi" w:cs="Arial"/>
          <w:szCs w:val="20"/>
        </w:rPr>
      </w:pPr>
      <w:r w:rsidRPr="00656765">
        <w:t>Traceability for measurements used for non-trade purposes is typically achieved by using the services of</w:t>
      </w:r>
      <w:r>
        <w:t xml:space="preserve"> NATA or</w:t>
      </w:r>
      <w:r w:rsidRPr="00656765">
        <w:t xml:space="preserve"> ILAC</w:t>
      </w:r>
      <w:r w:rsidR="00A64F3E">
        <w:t>-</w:t>
      </w:r>
      <w:r w:rsidRPr="00656765">
        <w:t xml:space="preserve">accredited laboratories whose standards of measurement are traceable to NMI or its international counterparts with Calibration and Measurement Capabilities internationally recognised through the </w:t>
      </w:r>
      <w:hyperlink r:id="rId20" w:history="1">
        <w:r w:rsidRPr="00656765">
          <w:t>CIPM Mutual Recognition Arrangement</w:t>
        </w:r>
      </w:hyperlink>
      <w:r w:rsidR="00E278C1">
        <w:t xml:space="preserve"> (CIPM MRA)</w:t>
      </w:r>
      <w:r w:rsidR="00F97DA1" w:rsidRPr="00F97DA1">
        <w:rPr>
          <w:rStyle w:val="FootnoteReference"/>
        </w:rPr>
        <w:t xml:space="preserve"> </w:t>
      </w:r>
      <w:r w:rsidR="00F97DA1">
        <w:rPr>
          <w:rStyle w:val="FootnoteReference"/>
        </w:rPr>
        <w:footnoteReference w:id="20"/>
      </w:r>
      <w:r w:rsidRPr="00656765">
        <w:t>.</w:t>
      </w:r>
      <w:r w:rsidR="00F97DA1" w:rsidRPr="00656765">
        <w:rPr>
          <w:rStyle w:val="BodyTextChar"/>
        </w:rPr>
        <w:t xml:space="preserve"> </w:t>
      </w:r>
      <w:r w:rsidR="008E36F3" w:rsidRPr="00656765">
        <w:rPr>
          <w:rStyle w:val="BodyTextChar"/>
        </w:rPr>
        <w:t>H</w:t>
      </w:r>
      <w:proofErr w:type="spellStart"/>
      <w:r w:rsidR="008E36F3">
        <w:rPr>
          <w:rFonts w:asciiTheme="majorHAnsi" w:hAnsiTheme="majorHAnsi" w:cs="Arial"/>
          <w:szCs w:val="20"/>
        </w:rPr>
        <w:t>owever</w:t>
      </w:r>
      <w:proofErr w:type="spellEnd"/>
      <w:r w:rsidR="008E36F3">
        <w:rPr>
          <w:rFonts w:asciiTheme="majorHAnsi" w:hAnsiTheme="majorHAnsi" w:cs="Arial"/>
          <w:szCs w:val="20"/>
        </w:rPr>
        <w:t>, in developing areas (e.g. nanotechnology) or areas requiring extremely low uncertainty or highly specialised capabilities, NMI may also develop</w:t>
      </w:r>
      <w:r w:rsidR="00F97DA1">
        <w:rPr>
          <w:rFonts w:asciiTheme="majorHAnsi" w:hAnsiTheme="majorHAnsi" w:cs="Arial"/>
          <w:szCs w:val="20"/>
        </w:rPr>
        <w:t xml:space="preserve"> and deliver these services.</w:t>
      </w:r>
    </w:p>
    <w:p w14:paraId="6B10E3AB" w14:textId="0477E1D3" w:rsidR="001805AC" w:rsidRDefault="001805AC" w:rsidP="001805AC">
      <w:pPr>
        <w:spacing w:before="120"/>
        <w:rPr>
          <w:rFonts w:asciiTheme="majorHAnsi" w:hAnsiTheme="majorHAnsi" w:cstheme="majorHAnsi"/>
          <w:szCs w:val="20"/>
        </w:rPr>
      </w:pPr>
      <w:r>
        <w:rPr>
          <w:rFonts w:asciiTheme="majorHAnsi" w:hAnsiTheme="majorHAnsi" w:cstheme="majorHAnsi"/>
          <w:szCs w:val="20"/>
        </w:rPr>
        <w:t xml:space="preserve">Commonwealth, State or Territory legislation may require measurements to be ascertained in </w:t>
      </w:r>
      <w:r w:rsidR="0014756F">
        <w:rPr>
          <w:rFonts w:asciiTheme="majorHAnsi" w:hAnsiTheme="majorHAnsi" w:cstheme="majorHAnsi"/>
          <w:szCs w:val="20"/>
        </w:rPr>
        <w:t xml:space="preserve">accordance with the requirements under the Act or in </w:t>
      </w:r>
      <w:r>
        <w:rPr>
          <w:rFonts w:asciiTheme="majorHAnsi" w:hAnsiTheme="majorHAnsi" w:cstheme="majorHAnsi"/>
          <w:szCs w:val="20"/>
        </w:rPr>
        <w:t>other ways. The measurement framework is fundamental for other regulators and a</w:t>
      </w:r>
      <w:r w:rsidR="0055506C">
        <w:rPr>
          <w:rFonts w:asciiTheme="majorHAnsi" w:hAnsiTheme="majorHAnsi"/>
          <w:szCs w:val="20"/>
        </w:rPr>
        <w:t>t least 8</w:t>
      </w:r>
      <w:r>
        <w:rPr>
          <w:rFonts w:asciiTheme="majorHAnsi" w:hAnsiTheme="majorHAnsi"/>
          <w:szCs w:val="20"/>
        </w:rPr>
        <w:t xml:space="preserve">0 </w:t>
      </w:r>
      <w:r w:rsidRPr="005E043B">
        <w:rPr>
          <w:rFonts w:asciiTheme="majorHAnsi" w:hAnsiTheme="majorHAnsi"/>
          <w:szCs w:val="20"/>
        </w:rPr>
        <w:t>Commonwealth, State and Territory laws</w:t>
      </w:r>
      <w:r w:rsidR="00A64F3E">
        <w:rPr>
          <w:rFonts w:asciiTheme="majorHAnsi" w:hAnsiTheme="majorHAnsi"/>
          <w:szCs w:val="20"/>
        </w:rPr>
        <w:t xml:space="preserve"> to</w:t>
      </w:r>
      <w:r>
        <w:rPr>
          <w:rFonts w:asciiTheme="majorHAnsi" w:hAnsiTheme="majorHAnsi"/>
          <w:szCs w:val="20"/>
        </w:rPr>
        <w:t xml:space="preserve"> meet their policy objectives by</w:t>
      </w:r>
      <w:r w:rsidRPr="005E043B">
        <w:rPr>
          <w:rFonts w:asciiTheme="majorHAnsi" w:hAnsiTheme="majorHAnsi"/>
          <w:szCs w:val="20"/>
        </w:rPr>
        <w:t xml:space="preserve"> </w:t>
      </w:r>
      <w:r>
        <w:rPr>
          <w:rFonts w:asciiTheme="majorHAnsi" w:hAnsiTheme="majorHAnsi"/>
          <w:szCs w:val="20"/>
        </w:rPr>
        <w:t>referencing</w:t>
      </w:r>
      <w:r w:rsidRPr="005E043B" w:rsidDel="00BF7A19">
        <w:rPr>
          <w:rFonts w:asciiTheme="majorHAnsi" w:hAnsiTheme="majorHAnsi" w:cstheme="majorHAnsi"/>
          <w:szCs w:val="20"/>
        </w:rPr>
        <w:t xml:space="preserve"> </w:t>
      </w:r>
      <w:r>
        <w:rPr>
          <w:rFonts w:asciiTheme="majorHAnsi" w:hAnsiTheme="majorHAnsi"/>
          <w:szCs w:val="20"/>
        </w:rPr>
        <w:t>m</w:t>
      </w:r>
      <w:r w:rsidRPr="005E043B">
        <w:rPr>
          <w:rFonts w:asciiTheme="majorHAnsi" w:hAnsiTheme="majorHAnsi"/>
          <w:szCs w:val="20"/>
        </w:rPr>
        <w:t xml:space="preserve">easurement </w:t>
      </w:r>
      <w:r>
        <w:rPr>
          <w:rFonts w:asciiTheme="majorHAnsi" w:hAnsiTheme="majorHAnsi"/>
          <w:szCs w:val="20"/>
        </w:rPr>
        <w:t>infrastructure overseen by the Act</w:t>
      </w:r>
      <w:r w:rsidRPr="005E043B">
        <w:rPr>
          <w:rFonts w:asciiTheme="majorHAnsi" w:hAnsiTheme="majorHAnsi"/>
          <w:szCs w:val="20"/>
        </w:rPr>
        <w:t xml:space="preserve">. </w:t>
      </w:r>
      <w:r>
        <w:rPr>
          <w:rFonts w:asciiTheme="majorHAnsi" w:hAnsiTheme="majorHAnsi"/>
          <w:szCs w:val="20"/>
        </w:rPr>
        <w:t>N</w:t>
      </w:r>
      <w:r w:rsidRPr="005E043B">
        <w:rPr>
          <w:rFonts w:asciiTheme="majorHAnsi" w:hAnsiTheme="majorHAnsi"/>
          <w:szCs w:val="20"/>
        </w:rPr>
        <w:t>on-legislative instruments also refer to measurement laws and regulations for diverse purposes</w:t>
      </w:r>
      <w:r>
        <w:rPr>
          <w:rFonts w:asciiTheme="majorHAnsi" w:hAnsiTheme="majorHAnsi"/>
          <w:szCs w:val="20"/>
        </w:rPr>
        <w:t xml:space="preserve"> in</w:t>
      </w:r>
      <w:r w:rsidRPr="005E043B">
        <w:rPr>
          <w:rFonts w:asciiTheme="majorHAnsi" w:hAnsiTheme="majorHAnsi"/>
          <w:szCs w:val="20"/>
        </w:rPr>
        <w:t xml:space="preserve">, for example, policy documents, </w:t>
      </w:r>
      <w:r>
        <w:rPr>
          <w:rFonts w:asciiTheme="majorHAnsi" w:hAnsiTheme="majorHAnsi"/>
          <w:szCs w:val="20"/>
        </w:rPr>
        <w:t>guidelines</w:t>
      </w:r>
      <w:r w:rsidR="00A64F3E">
        <w:rPr>
          <w:rFonts w:asciiTheme="majorHAnsi" w:hAnsiTheme="majorHAnsi"/>
          <w:szCs w:val="20"/>
        </w:rPr>
        <w:t xml:space="preserve"> and</w:t>
      </w:r>
      <w:r w:rsidRPr="005E043B">
        <w:rPr>
          <w:rFonts w:asciiTheme="majorHAnsi" w:hAnsiTheme="majorHAnsi"/>
          <w:szCs w:val="20"/>
        </w:rPr>
        <w:t xml:space="preserve"> directives. </w:t>
      </w:r>
      <w:r w:rsidRPr="005E043B">
        <w:rPr>
          <w:rFonts w:asciiTheme="majorHAnsi" w:hAnsiTheme="majorHAnsi" w:cstheme="majorHAnsi"/>
          <w:szCs w:val="20"/>
        </w:rPr>
        <w:t>I</w:t>
      </w:r>
      <w:r>
        <w:rPr>
          <w:rFonts w:asciiTheme="majorHAnsi" w:hAnsiTheme="majorHAnsi" w:cstheme="majorHAnsi"/>
          <w:szCs w:val="20"/>
        </w:rPr>
        <w:t>n the event of a dispute, t</w:t>
      </w:r>
      <w:r w:rsidRPr="005E043B">
        <w:rPr>
          <w:rFonts w:asciiTheme="majorHAnsi" w:hAnsiTheme="majorHAnsi" w:cstheme="majorHAnsi"/>
          <w:szCs w:val="20"/>
        </w:rPr>
        <w:t xml:space="preserve">he courts </w:t>
      </w:r>
      <w:r w:rsidR="000A5D71">
        <w:rPr>
          <w:rFonts w:asciiTheme="majorHAnsi" w:hAnsiTheme="majorHAnsi" w:cstheme="majorHAnsi"/>
          <w:szCs w:val="20"/>
        </w:rPr>
        <w:t xml:space="preserve">decide whether to accept measurements as evidence and </w:t>
      </w:r>
      <w:r w:rsidRPr="005E043B">
        <w:rPr>
          <w:rFonts w:asciiTheme="majorHAnsi" w:hAnsiTheme="majorHAnsi" w:cstheme="majorHAnsi"/>
          <w:szCs w:val="20"/>
        </w:rPr>
        <w:t xml:space="preserve">whether a measurement </w:t>
      </w:r>
      <w:r>
        <w:rPr>
          <w:rFonts w:asciiTheme="majorHAnsi" w:hAnsiTheme="majorHAnsi" w:cstheme="majorHAnsi"/>
          <w:szCs w:val="20"/>
        </w:rPr>
        <w:t>needs</w:t>
      </w:r>
      <w:r w:rsidRPr="005E043B">
        <w:rPr>
          <w:rFonts w:asciiTheme="majorHAnsi" w:hAnsiTheme="majorHAnsi" w:cstheme="majorHAnsi"/>
          <w:szCs w:val="20"/>
        </w:rPr>
        <w:t xml:space="preserve"> to be </w:t>
      </w:r>
      <w:r w:rsidR="000A5D71">
        <w:rPr>
          <w:rFonts w:asciiTheme="majorHAnsi" w:hAnsiTheme="majorHAnsi" w:cstheme="majorHAnsi"/>
          <w:szCs w:val="20"/>
        </w:rPr>
        <w:t>ascertained</w:t>
      </w:r>
      <w:r>
        <w:rPr>
          <w:rFonts w:asciiTheme="majorHAnsi" w:hAnsiTheme="majorHAnsi" w:cstheme="majorHAnsi"/>
          <w:szCs w:val="20"/>
        </w:rPr>
        <w:t xml:space="preserve"> </w:t>
      </w:r>
      <w:r w:rsidR="0014756F">
        <w:rPr>
          <w:rFonts w:asciiTheme="majorHAnsi" w:hAnsiTheme="majorHAnsi" w:cstheme="majorHAnsi"/>
          <w:szCs w:val="20"/>
        </w:rPr>
        <w:t>by</w:t>
      </w:r>
      <w:r w:rsidR="0014756F" w:rsidRPr="005E043B">
        <w:rPr>
          <w:rFonts w:asciiTheme="majorHAnsi" w:hAnsiTheme="majorHAnsi" w:cstheme="majorHAnsi"/>
          <w:szCs w:val="20"/>
        </w:rPr>
        <w:t xml:space="preserve"> </w:t>
      </w:r>
      <w:r w:rsidR="000A5D71">
        <w:rPr>
          <w:rFonts w:asciiTheme="majorHAnsi" w:hAnsiTheme="majorHAnsi" w:cstheme="majorHAnsi"/>
          <w:szCs w:val="20"/>
        </w:rPr>
        <w:t xml:space="preserve">reference to </w:t>
      </w:r>
      <w:r w:rsidR="0004687A">
        <w:rPr>
          <w:rFonts w:asciiTheme="majorHAnsi" w:hAnsiTheme="majorHAnsi" w:cstheme="majorHAnsi"/>
          <w:szCs w:val="20"/>
        </w:rPr>
        <w:t>the Act.</w:t>
      </w:r>
    </w:p>
    <w:p w14:paraId="1661D802" w14:textId="14E8742B" w:rsidR="0094585C" w:rsidRPr="00A64F3E" w:rsidRDefault="0094585C" w:rsidP="0059566C">
      <w:pPr>
        <w:pStyle w:val="Heading2"/>
        <w:numPr>
          <w:ilvl w:val="1"/>
          <w:numId w:val="16"/>
        </w:numPr>
        <w:ind w:hanging="792"/>
      </w:pPr>
      <w:bookmarkStart w:id="40" w:name="_Toc3468094"/>
      <w:r w:rsidRPr="00A64F3E">
        <w:t>Issue</w:t>
      </w:r>
      <w:r w:rsidR="00311752" w:rsidRPr="00A64F3E">
        <w:t>s</w:t>
      </w:r>
      <w:r w:rsidRPr="00A64F3E">
        <w:t xml:space="preserve"> and questions</w:t>
      </w:r>
      <w:bookmarkEnd w:id="40"/>
    </w:p>
    <w:p w14:paraId="42A870A3" w14:textId="36EE80D8" w:rsidR="0094585C" w:rsidRPr="006E0F9C" w:rsidRDefault="0094585C" w:rsidP="000546D6">
      <w:pPr>
        <w:pStyle w:val="Heading4"/>
        <w:numPr>
          <w:ilvl w:val="2"/>
          <w:numId w:val="16"/>
        </w:numPr>
        <w:ind w:left="709" w:hanging="709"/>
      </w:pPr>
      <w:r w:rsidRPr="006E0F9C">
        <w:t xml:space="preserve">The need for a provision that </w:t>
      </w:r>
      <w:r w:rsidR="005525E1" w:rsidRPr="006E0F9C">
        <w:t>specifies how measurements are to be ascertained when, for any legal purpose, it is necessary</w:t>
      </w:r>
      <w:r w:rsidR="00967029" w:rsidRPr="006E0F9C">
        <w:t xml:space="preserve"> to determine whether a measurement has been made or is being made correctly with reference to Australian legal units of measurement (ALUM)</w:t>
      </w:r>
      <w:r w:rsidR="005525E1" w:rsidRPr="006E0F9C">
        <w:t>.</w:t>
      </w:r>
    </w:p>
    <w:p w14:paraId="52F5F8A0" w14:textId="4427817E" w:rsidR="0094585C" w:rsidRPr="00C24D8D" w:rsidRDefault="0094585C" w:rsidP="0094585C">
      <w:pPr>
        <w:rPr>
          <w:rFonts w:asciiTheme="majorHAnsi" w:hAnsiTheme="majorHAnsi" w:cstheme="majorHAnsi"/>
          <w:szCs w:val="20"/>
        </w:rPr>
      </w:pPr>
      <w:r>
        <w:rPr>
          <w:rFonts w:asciiTheme="majorHAnsi" w:hAnsiTheme="majorHAnsi" w:cstheme="majorHAnsi"/>
          <w:szCs w:val="20"/>
        </w:rPr>
        <w:t>Section 10 of the Act</w:t>
      </w:r>
      <w:r w:rsidRPr="00C24D8D">
        <w:rPr>
          <w:rFonts w:asciiTheme="majorHAnsi" w:hAnsiTheme="majorHAnsi" w:cstheme="majorHAnsi"/>
          <w:szCs w:val="20"/>
        </w:rPr>
        <w:t xml:space="preserve"> prescribes </w:t>
      </w:r>
      <w:r w:rsidR="00EF34E4">
        <w:rPr>
          <w:rFonts w:asciiTheme="majorHAnsi" w:hAnsiTheme="majorHAnsi" w:cstheme="majorHAnsi"/>
          <w:szCs w:val="20"/>
        </w:rPr>
        <w:t>the manner of ascertaining whether a measurement has been made, or is being made</w:t>
      </w:r>
      <w:r w:rsidR="008C5A04">
        <w:rPr>
          <w:rFonts w:asciiTheme="majorHAnsi" w:hAnsiTheme="majorHAnsi" w:cstheme="majorHAnsi"/>
          <w:szCs w:val="20"/>
        </w:rPr>
        <w:t>,</w:t>
      </w:r>
      <w:r w:rsidR="00EF34E4">
        <w:rPr>
          <w:rFonts w:asciiTheme="majorHAnsi" w:hAnsiTheme="majorHAnsi" w:cstheme="majorHAnsi"/>
          <w:szCs w:val="20"/>
        </w:rPr>
        <w:t xml:space="preserve"> correctly with reference to </w:t>
      </w:r>
      <w:r w:rsidR="004742B8">
        <w:rPr>
          <w:rFonts w:asciiTheme="majorHAnsi" w:hAnsiTheme="majorHAnsi" w:cstheme="majorHAnsi"/>
          <w:szCs w:val="20"/>
        </w:rPr>
        <w:t>an ALUM</w:t>
      </w:r>
      <w:r w:rsidR="00EF34E4">
        <w:rPr>
          <w:rFonts w:asciiTheme="majorHAnsi" w:hAnsiTheme="majorHAnsi" w:cstheme="majorHAnsi"/>
          <w:szCs w:val="20"/>
        </w:rPr>
        <w:t xml:space="preserve">. </w:t>
      </w:r>
      <w:r>
        <w:rPr>
          <w:rFonts w:asciiTheme="majorHAnsi" w:hAnsiTheme="majorHAnsi" w:cstheme="majorHAnsi"/>
          <w:szCs w:val="20"/>
        </w:rPr>
        <w:t>This provision only includes using an appropriate standard of measurement, an A</w:t>
      </w:r>
      <w:r w:rsidR="00831D68">
        <w:rPr>
          <w:rFonts w:asciiTheme="majorHAnsi" w:hAnsiTheme="majorHAnsi" w:cstheme="majorHAnsi"/>
          <w:szCs w:val="20"/>
        </w:rPr>
        <w:t xml:space="preserve">ustralian </w:t>
      </w:r>
      <w:r>
        <w:rPr>
          <w:rFonts w:asciiTheme="majorHAnsi" w:hAnsiTheme="majorHAnsi" w:cstheme="majorHAnsi"/>
          <w:szCs w:val="20"/>
        </w:rPr>
        <w:t>C</w:t>
      </w:r>
      <w:r w:rsidR="00831D68">
        <w:rPr>
          <w:rFonts w:asciiTheme="majorHAnsi" w:hAnsiTheme="majorHAnsi" w:cstheme="majorHAnsi"/>
          <w:szCs w:val="20"/>
        </w:rPr>
        <w:t xml:space="preserve">ertified </w:t>
      </w:r>
      <w:r>
        <w:rPr>
          <w:rFonts w:asciiTheme="majorHAnsi" w:hAnsiTheme="majorHAnsi" w:cstheme="majorHAnsi"/>
          <w:szCs w:val="20"/>
        </w:rPr>
        <w:t>R</w:t>
      </w:r>
      <w:r w:rsidR="00831D68">
        <w:rPr>
          <w:rFonts w:asciiTheme="majorHAnsi" w:hAnsiTheme="majorHAnsi" w:cstheme="majorHAnsi"/>
          <w:szCs w:val="20"/>
        </w:rPr>
        <w:t xml:space="preserve">eference </w:t>
      </w:r>
      <w:r>
        <w:rPr>
          <w:rFonts w:asciiTheme="majorHAnsi" w:hAnsiTheme="majorHAnsi" w:cstheme="majorHAnsi"/>
          <w:szCs w:val="20"/>
        </w:rPr>
        <w:t>M</w:t>
      </w:r>
      <w:r w:rsidR="00831D68">
        <w:rPr>
          <w:rFonts w:asciiTheme="majorHAnsi" w:hAnsiTheme="majorHAnsi" w:cstheme="majorHAnsi"/>
          <w:szCs w:val="20"/>
        </w:rPr>
        <w:t>aterial (ACRM)</w:t>
      </w:r>
      <w:r>
        <w:rPr>
          <w:rFonts w:asciiTheme="majorHAnsi" w:hAnsiTheme="majorHAnsi" w:cstheme="majorHAnsi"/>
          <w:szCs w:val="20"/>
        </w:rPr>
        <w:t>, a certified measuring instrument</w:t>
      </w:r>
      <w:r w:rsidR="00E411D2">
        <w:rPr>
          <w:rFonts w:asciiTheme="majorHAnsi" w:hAnsiTheme="majorHAnsi" w:cstheme="majorHAnsi"/>
          <w:szCs w:val="20"/>
        </w:rPr>
        <w:t>,</w:t>
      </w:r>
      <w:r w:rsidR="00920D49">
        <w:rPr>
          <w:rFonts w:asciiTheme="majorHAnsi" w:hAnsiTheme="majorHAnsi" w:cstheme="majorHAnsi"/>
          <w:szCs w:val="20"/>
        </w:rPr>
        <w:t xml:space="preserve"> a combination as provided in S</w:t>
      </w:r>
      <w:r>
        <w:rPr>
          <w:rFonts w:asciiTheme="majorHAnsi" w:hAnsiTheme="majorHAnsi" w:cstheme="majorHAnsi"/>
          <w:szCs w:val="20"/>
        </w:rPr>
        <w:t>ection 10 of the Act</w:t>
      </w:r>
      <w:r w:rsidR="00B4638D">
        <w:rPr>
          <w:rFonts w:asciiTheme="majorHAnsi" w:hAnsiTheme="majorHAnsi" w:cstheme="majorHAnsi"/>
          <w:szCs w:val="20"/>
        </w:rPr>
        <w:t>, and not in any other manner</w:t>
      </w:r>
      <w:r w:rsidR="00F97DA1" w:rsidRPr="00C24D8D">
        <w:rPr>
          <w:rStyle w:val="FootnoteReference"/>
          <w:rFonts w:asciiTheme="majorHAnsi" w:hAnsiTheme="majorHAnsi" w:cstheme="majorHAnsi"/>
          <w:szCs w:val="20"/>
        </w:rPr>
        <w:footnoteReference w:id="21"/>
      </w:r>
      <w:r>
        <w:rPr>
          <w:rFonts w:asciiTheme="majorHAnsi" w:hAnsiTheme="majorHAnsi" w:cstheme="majorHAnsi"/>
          <w:szCs w:val="20"/>
        </w:rPr>
        <w:t>.</w:t>
      </w:r>
      <w:r w:rsidRPr="00C24D8D">
        <w:rPr>
          <w:rFonts w:asciiTheme="majorHAnsi" w:hAnsiTheme="majorHAnsi" w:cstheme="majorHAnsi"/>
          <w:szCs w:val="20"/>
        </w:rPr>
        <w:t xml:space="preserve"> </w:t>
      </w:r>
      <w:r w:rsidR="00E411D2">
        <w:rPr>
          <w:rFonts w:asciiTheme="majorHAnsi" w:hAnsiTheme="majorHAnsi" w:cstheme="majorHAnsi"/>
          <w:szCs w:val="20"/>
        </w:rPr>
        <w:t>The Section excludes pathways to traceability that may emerge from advances in science and technology.</w:t>
      </w:r>
    </w:p>
    <w:p w14:paraId="2BCA9322" w14:textId="0469C0E5" w:rsidR="0094585C" w:rsidRPr="000370F6" w:rsidRDefault="0094585C" w:rsidP="0094585C">
      <w:pPr>
        <w:rPr>
          <w:rFonts w:asciiTheme="majorHAnsi" w:hAnsiTheme="majorHAnsi" w:cstheme="majorHAnsi"/>
          <w:szCs w:val="20"/>
        </w:rPr>
      </w:pPr>
      <w:r>
        <w:lastRenderedPageBreak/>
        <w:tab/>
        <w:t>Question</w:t>
      </w:r>
      <w:r w:rsidR="00656765">
        <w:t>s</w:t>
      </w:r>
      <w:r>
        <w:t>:</w:t>
      </w:r>
    </w:p>
    <w:p w14:paraId="01AA8745" w14:textId="2F8FE702" w:rsidR="00365418" w:rsidRDefault="00F825A9" w:rsidP="006E0F9C">
      <w:pPr>
        <w:spacing w:before="25" w:line="305" w:lineRule="auto"/>
        <w:ind w:left="1440" w:hanging="720"/>
      </w:pPr>
      <w:r>
        <w:t xml:space="preserve">3.2.1.a. </w:t>
      </w:r>
      <w:r w:rsidR="00B87A69" w:rsidRPr="006E0F9C">
        <w:rPr>
          <w:rFonts w:asciiTheme="majorHAnsi" w:hAnsiTheme="majorHAnsi" w:cstheme="majorHAnsi"/>
          <w:szCs w:val="20"/>
        </w:rPr>
        <w:t>How effectively have you been guided by this provision in the Act?</w:t>
      </w:r>
    </w:p>
    <w:p w14:paraId="36677200" w14:textId="1E191D53" w:rsidR="00B87A69" w:rsidRPr="006E0F9C" w:rsidRDefault="00F825A9" w:rsidP="006E0F9C">
      <w:pPr>
        <w:spacing w:before="25" w:line="305" w:lineRule="auto"/>
        <w:ind w:left="1440" w:hanging="720"/>
        <w:rPr>
          <w:rFonts w:asciiTheme="majorHAnsi" w:hAnsiTheme="majorHAnsi" w:cstheme="majorHAnsi"/>
          <w:szCs w:val="20"/>
        </w:rPr>
      </w:pPr>
      <w:r>
        <w:t xml:space="preserve">3.2.1.b. </w:t>
      </w:r>
      <w:r w:rsidR="0094585C" w:rsidRPr="006E0F9C">
        <w:rPr>
          <w:rFonts w:asciiTheme="majorHAnsi" w:hAnsiTheme="majorHAnsi" w:cstheme="majorHAnsi"/>
          <w:szCs w:val="20"/>
        </w:rPr>
        <w:t xml:space="preserve">What alternative mechanisms or frameworks could be used to determine </w:t>
      </w:r>
      <w:r w:rsidR="008C5A04" w:rsidRPr="006E0F9C">
        <w:rPr>
          <w:rFonts w:asciiTheme="majorHAnsi" w:hAnsiTheme="majorHAnsi" w:cstheme="majorHAnsi"/>
          <w:szCs w:val="20"/>
        </w:rPr>
        <w:t xml:space="preserve">whether </w:t>
      </w:r>
      <w:r w:rsidR="004742B8" w:rsidRPr="006E0F9C">
        <w:rPr>
          <w:rFonts w:asciiTheme="majorHAnsi" w:hAnsiTheme="majorHAnsi" w:cstheme="majorHAnsi"/>
          <w:szCs w:val="20"/>
        </w:rPr>
        <w:t xml:space="preserve">a </w:t>
      </w:r>
      <w:r w:rsidR="0094585C" w:rsidRPr="006E0F9C">
        <w:rPr>
          <w:rFonts w:asciiTheme="majorHAnsi" w:hAnsiTheme="majorHAnsi" w:cstheme="majorHAnsi"/>
          <w:szCs w:val="20"/>
        </w:rPr>
        <w:t xml:space="preserve">measurement </w:t>
      </w:r>
      <w:r w:rsidR="008C5A04" w:rsidRPr="006E0F9C">
        <w:rPr>
          <w:rFonts w:asciiTheme="majorHAnsi" w:hAnsiTheme="majorHAnsi" w:cstheme="majorHAnsi"/>
          <w:szCs w:val="20"/>
        </w:rPr>
        <w:t xml:space="preserve">is being made correctly with reference to </w:t>
      </w:r>
      <w:r w:rsidR="006E7A96" w:rsidRPr="006E0F9C">
        <w:rPr>
          <w:rFonts w:asciiTheme="majorHAnsi" w:hAnsiTheme="majorHAnsi" w:cstheme="majorHAnsi"/>
          <w:szCs w:val="20"/>
        </w:rPr>
        <w:t>an ALUM</w:t>
      </w:r>
      <w:r w:rsidR="0094585C" w:rsidRPr="006E0F9C">
        <w:rPr>
          <w:rFonts w:asciiTheme="majorHAnsi" w:hAnsiTheme="majorHAnsi" w:cstheme="majorHAnsi"/>
          <w:szCs w:val="20"/>
        </w:rPr>
        <w:t>?</w:t>
      </w:r>
    </w:p>
    <w:p w14:paraId="398D4BDB" w14:textId="74A34BE0" w:rsidR="0094585C" w:rsidRDefault="0094585C" w:rsidP="000546D6">
      <w:pPr>
        <w:pStyle w:val="Heading4"/>
        <w:numPr>
          <w:ilvl w:val="2"/>
          <w:numId w:val="16"/>
        </w:numPr>
        <w:ind w:left="567" w:hanging="567"/>
      </w:pPr>
      <w:r>
        <w:t xml:space="preserve">Mechanisms of legal assurance for a measurement system applied </w:t>
      </w:r>
      <w:r w:rsidR="00352A73">
        <w:t xml:space="preserve">broadly </w:t>
      </w:r>
      <w:r>
        <w:t>to non-trade purposes</w:t>
      </w:r>
    </w:p>
    <w:p w14:paraId="21CAB2C3" w14:textId="7B624758" w:rsidR="008E36F3" w:rsidRPr="008E36F3" w:rsidRDefault="008E36F3" w:rsidP="008E36F3">
      <w:pPr>
        <w:rPr>
          <w:rFonts w:asciiTheme="majorHAnsi" w:eastAsia="Times New Roman" w:hAnsiTheme="majorHAnsi" w:cs="Arial"/>
          <w:szCs w:val="20"/>
        </w:rPr>
      </w:pPr>
      <w:r w:rsidRPr="008E36F3">
        <w:rPr>
          <w:rFonts w:asciiTheme="majorHAnsi" w:eastAsia="Times New Roman" w:hAnsiTheme="majorHAnsi" w:cs="Arial"/>
          <w:szCs w:val="20"/>
        </w:rPr>
        <w:t xml:space="preserve">Mechanisms used for trade may be used for purposes other than trade, </w:t>
      </w:r>
      <w:r w:rsidR="00CF1A7B">
        <w:rPr>
          <w:rFonts w:asciiTheme="majorHAnsi" w:eastAsia="Times New Roman" w:hAnsiTheme="majorHAnsi" w:cs="Arial"/>
          <w:szCs w:val="20"/>
        </w:rPr>
        <w:t>for example</w:t>
      </w:r>
      <w:r w:rsidRPr="008E36F3">
        <w:rPr>
          <w:rFonts w:asciiTheme="majorHAnsi" w:eastAsia="Times New Roman" w:hAnsiTheme="majorHAnsi" w:cs="Arial"/>
          <w:szCs w:val="20"/>
        </w:rPr>
        <w:t xml:space="preserve"> the use of weighbridges regulated under the Act to </w:t>
      </w:r>
      <w:r w:rsidR="00CF1A7B" w:rsidRPr="008E36F3">
        <w:rPr>
          <w:rFonts w:asciiTheme="majorHAnsi" w:eastAsia="Times New Roman" w:hAnsiTheme="majorHAnsi" w:cs="Arial"/>
          <w:szCs w:val="20"/>
        </w:rPr>
        <w:t xml:space="preserve">support </w:t>
      </w:r>
      <w:r w:rsidR="002C1C15">
        <w:rPr>
          <w:rFonts w:asciiTheme="majorHAnsi" w:eastAsia="Times New Roman" w:hAnsiTheme="majorHAnsi" w:cs="Arial"/>
          <w:szCs w:val="20"/>
        </w:rPr>
        <w:t xml:space="preserve">the </w:t>
      </w:r>
      <w:r w:rsidR="00CF1A7B" w:rsidRPr="008E36F3">
        <w:rPr>
          <w:rFonts w:asciiTheme="majorHAnsi" w:eastAsia="Times New Roman" w:hAnsiTheme="majorHAnsi" w:cs="Arial"/>
          <w:szCs w:val="20"/>
        </w:rPr>
        <w:t>safe loading of cargo on ships</w:t>
      </w:r>
      <w:r w:rsidR="00CF1A7B">
        <w:rPr>
          <w:rFonts w:asciiTheme="majorHAnsi" w:eastAsia="Times New Roman" w:hAnsiTheme="majorHAnsi" w:cs="Arial"/>
          <w:szCs w:val="20"/>
        </w:rPr>
        <w:t xml:space="preserve"> to meet Australian Maritime Safety Authority requirements</w:t>
      </w:r>
      <w:r w:rsidR="0004687A">
        <w:rPr>
          <w:rStyle w:val="FootnoteReference"/>
          <w:rFonts w:asciiTheme="majorHAnsi" w:eastAsia="Times New Roman" w:hAnsiTheme="majorHAnsi" w:cs="Arial"/>
          <w:szCs w:val="20"/>
        </w:rPr>
        <w:footnoteReference w:id="22"/>
      </w:r>
      <w:r w:rsidRPr="008E36F3">
        <w:rPr>
          <w:rFonts w:asciiTheme="majorHAnsi" w:eastAsia="Times New Roman" w:hAnsiTheme="majorHAnsi" w:cs="Arial"/>
          <w:szCs w:val="20"/>
        </w:rPr>
        <w:t>.</w:t>
      </w:r>
    </w:p>
    <w:p w14:paraId="7838A85F" w14:textId="3E9E0C2C" w:rsidR="008E36F3" w:rsidRPr="008E36F3" w:rsidRDefault="008E36F3" w:rsidP="008E36F3">
      <w:pPr>
        <w:ind w:left="720"/>
        <w:rPr>
          <w:rFonts w:asciiTheme="majorHAnsi" w:eastAsia="Times New Roman" w:hAnsiTheme="majorHAnsi" w:cs="Arial"/>
          <w:szCs w:val="20"/>
        </w:rPr>
      </w:pPr>
      <w:r w:rsidRPr="008E36F3">
        <w:rPr>
          <w:rFonts w:asciiTheme="majorHAnsi" w:eastAsia="Times New Roman" w:hAnsiTheme="majorHAnsi" w:cs="Arial"/>
          <w:szCs w:val="20"/>
        </w:rPr>
        <w:t>Question:</w:t>
      </w:r>
    </w:p>
    <w:p w14:paraId="6A1766AD" w14:textId="34453632" w:rsidR="0094585C" w:rsidRPr="00306FA9" w:rsidRDefault="00365418" w:rsidP="00306FA9">
      <w:pPr>
        <w:ind w:left="1440" w:hanging="720"/>
        <w:contextualSpacing/>
        <w:rPr>
          <w:rFonts w:asciiTheme="majorHAnsi" w:eastAsia="Times New Roman" w:hAnsiTheme="majorHAnsi" w:cs="Arial"/>
          <w:szCs w:val="20"/>
        </w:rPr>
      </w:pPr>
      <w:r>
        <w:rPr>
          <w:rFonts w:asciiTheme="majorHAnsi" w:eastAsia="Times New Roman" w:hAnsiTheme="majorHAnsi" w:cs="Arial"/>
          <w:szCs w:val="20"/>
        </w:rPr>
        <w:t>3.2.2</w:t>
      </w:r>
      <w:r w:rsidR="00F825A9">
        <w:rPr>
          <w:rFonts w:asciiTheme="majorHAnsi" w:eastAsia="Times New Roman" w:hAnsiTheme="majorHAnsi" w:cs="Arial"/>
          <w:szCs w:val="20"/>
        </w:rPr>
        <w:t xml:space="preserve">.a. </w:t>
      </w:r>
      <w:r w:rsidR="008E36F3" w:rsidRPr="008E36F3">
        <w:rPr>
          <w:rFonts w:asciiTheme="majorHAnsi" w:eastAsia="Times New Roman" w:hAnsiTheme="majorHAnsi" w:cs="Arial"/>
          <w:szCs w:val="20"/>
        </w:rPr>
        <w:t xml:space="preserve">In what ways can the Australian Government make </w:t>
      </w:r>
      <w:r w:rsidR="00075F7C">
        <w:rPr>
          <w:rFonts w:asciiTheme="majorHAnsi" w:eastAsia="Times New Roman" w:hAnsiTheme="majorHAnsi" w:cs="Arial"/>
          <w:szCs w:val="20"/>
        </w:rPr>
        <w:t>trac</w:t>
      </w:r>
      <w:r w:rsidR="0067363B">
        <w:rPr>
          <w:rFonts w:asciiTheme="majorHAnsi" w:eastAsia="Times New Roman" w:hAnsiTheme="majorHAnsi" w:cs="Arial"/>
          <w:szCs w:val="20"/>
        </w:rPr>
        <w:t>e</w:t>
      </w:r>
      <w:r w:rsidR="00075F7C">
        <w:rPr>
          <w:rFonts w:asciiTheme="majorHAnsi" w:eastAsia="Times New Roman" w:hAnsiTheme="majorHAnsi" w:cs="Arial"/>
          <w:szCs w:val="20"/>
        </w:rPr>
        <w:t xml:space="preserve">ability assurance </w:t>
      </w:r>
      <w:r w:rsidR="008E36F3" w:rsidRPr="008E36F3">
        <w:rPr>
          <w:rFonts w:asciiTheme="majorHAnsi" w:eastAsia="Times New Roman" w:hAnsiTheme="majorHAnsi" w:cs="Arial"/>
          <w:szCs w:val="20"/>
        </w:rPr>
        <w:t xml:space="preserve">mechanisms more </w:t>
      </w:r>
      <w:r w:rsidR="00F13E3F">
        <w:rPr>
          <w:rFonts w:asciiTheme="majorHAnsi" w:eastAsia="Times New Roman" w:hAnsiTheme="majorHAnsi" w:cs="Arial"/>
          <w:szCs w:val="20"/>
        </w:rPr>
        <w:t>a</w:t>
      </w:r>
      <w:r w:rsidR="002F2512">
        <w:rPr>
          <w:rFonts w:asciiTheme="majorHAnsi" w:eastAsia="Times New Roman" w:hAnsiTheme="majorHAnsi" w:cs="Arial"/>
          <w:szCs w:val="20"/>
        </w:rPr>
        <w:t>c</w:t>
      </w:r>
      <w:r w:rsidR="000E504B">
        <w:rPr>
          <w:rFonts w:asciiTheme="majorHAnsi" w:eastAsia="Times New Roman" w:hAnsiTheme="majorHAnsi" w:cs="Arial"/>
          <w:szCs w:val="20"/>
        </w:rPr>
        <w:t>c</w:t>
      </w:r>
      <w:r w:rsidR="002F2512">
        <w:rPr>
          <w:rFonts w:asciiTheme="majorHAnsi" w:eastAsia="Times New Roman" w:hAnsiTheme="majorHAnsi" w:cs="Arial"/>
          <w:szCs w:val="20"/>
        </w:rPr>
        <w:t>essible</w:t>
      </w:r>
      <w:r w:rsidR="008E36F3" w:rsidRPr="008E36F3">
        <w:rPr>
          <w:rFonts w:asciiTheme="majorHAnsi" w:eastAsia="Times New Roman" w:hAnsiTheme="majorHAnsi" w:cs="Arial"/>
          <w:szCs w:val="20"/>
        </w:rPr>
        <w:t xml:space="preserve"> for non-trade measurement</w:t>
      </w:r>
      <w:r w:rsidR="00075F7C">
        <w:rPr>
          <w:rFonts w:asciiTheme="majorHAnsi" w:eastAsia="Times New Roman" w:hAnsiTheme="majorHAnsi" w:cs="Arial"/>
          <w:szCs w:val="20"/>
        </w:rPr>
        <w:t xml:space="preserve"> purpose</w:t>
      </w:r>
      <w:r w:rsidR="008E36F3" w:rsidRPr="008E36F3">
        <w:rPr>
          <w:rFonts w:asciiTheme="majorHAnsi" w:eastAsia="Times New Roman" w:hAnsiTheme="majorHAnsi" w:cs="Arial"/>
          <w:szCs w:val="20"/>
        </w:rPr>
        <w:t xml:space="preserve">s (for example environmental monitoring, safety, health and medical devices)? </w:t>
      </w:r>
      <w:r w:rsidR="00075F7C">
        <w:rPr>
          <w:rFonts w:asciiTheme="majorHAnsi" w:eastAsia="Times New Roman" w:hAnsiTheme="majorHAnsi" w:cs="Arial"/>
          <w:szCs w:val="20"/>
        </w:rPr>
        <w:t xml:space="preserve"> What efficiencies or </w:t>
      </w:r>
      <w:r w:rsidR="00C96946">
        <w:rPr>
          <w:rFonts w:asciiTheme="majorHAnsi" w:eastAsia="Times New Roman" w:hAnsiTheme="majorHAnsi" w:cs="Arial"/>
          <w:szCs w:val="20"/>
        </w:rPr>
        <w:t>benefits</w:t>
      </w:r>
      <w:r w:rsidR="00075F7C">
        <w:rPr>
          <w:rFonts w:asciiTheme="majorHAnsi" w:eastAsia="Times New Roman" w:hAnsiTheme="majorHAnsi" w:cs="Arial"/>
          <w:szCs w:val="20"/>
        </w:rPr>
        <w:t xml:space="preserve"> would be achieved by doing so?</w:t>
      </w:r>
    </w:p>
    <w:p w14:paraId="058D49E1" w14:textId="77777777" w:rsidR="00202F66" w:rsidRDefault="00202F66" w:rsidP="00202F66">
      <w:pPr>
        <w:spacing w:after="200"/>
      </w:pPr>
    </w:p>
    <w:p w14:paraId="02452D09" w14:textId="77777777" w:rsidR="00202F66" w:rsidRDefault="00202F66">
      <w:pPr>
        <w:spacing w:after="200"/>
      </w:pPr>
      <w:r>
        <w:br w:type="page"/>
      </w:r>
    </w:p>
    <w:p w14:paraId="68819C42" w14:textId="7609E501" w:rsidR="005C175C" w:rsidRPr="001238D9" w:rsidRDefault="00784301" w:rsidP="0059566C">
      <w:pPr>
        <w:pStyle w:val="Heading1"/>
        <w:numPr>
          <w:ilvl w:val="0"/>
          <w:numId w:val="16"/>
        </w:numPr>
        <w:spacing w:after="100" w:afterAutospacing="1"/>
      </w:pPr>
      <w:bookmarkStart w:id="41" w:name="_Toc3468095"/>
      <w:r>
        <w:lastRenderedPageBreak/>
        <w:t>Traceable m</w:t>
      </w:r>
      <w:r w:rsidR="005C175C" w:rsidRPr="001238D9">
        <w:t>easurement of physical quantities</w:t>
      </w:r>
      <w:bookmarkEnd w:id="35"/>
      <w:bookmarkEnd w:id="36"/>
      <w:bookmarkEnd w:id="41"/>
    </w:p>
    <w:p w14:paraId="4F548DA1" w14:textId="42414221" w:rsidR="005E0C1D" w:rsidRDefault="005E0C1D" w:rsidP="005E0C1D">
      <w:r>
        <w:t>The Australian Government legislates measurement of physical quantities due to the broad applications of physical measurement in the economy and society.</w:t>
      </w:r>
      <w:r>
        <w:rPr>
          <w:rStyle w:val="FootnoteReference"/>
        </w:rPr>
        <w:footnoteReference w:id="23"/>
      </w:r>
      <w:r>
        <w:t xml:space="preserve"> </w:t>
      </w:r>
      <w:r w:rsidR="00434A66">
        <w:t>‘</w:t>
      </w:r>
      <w:r>
        <w:t>Physical quantities</w:t>
      </w:r>
      <w:r w:rsidR="00434A66">
        <w:t>’</w:t>
      </w:r>
      <w:r>
        <w:t xml:space="preserve"> is a term </w:t>
      </w:r>
      <w:r w:rsidR="00F20269">
        <w:t xml:space="preserve">used </w:t>
      </w:r>
      <w:r>
        <w:t>in the current Act; it also covers chemical and biological measurements which are explored in the next section.</w:t>
      </w:r>
    </w:p>
    <w:p w14:paraId="60A3A6B5" w14:textId="3D969FE0" w:rsidR="005E0C1D" w:rsidRPr="00574747" w:rsidRDefault="005E0C1D" w:rsidP="0059566C">
      <w:pPr>
        <w:pStyle w:val="Heading2"/>
        <w:numPr>
          <w:ilvl w:val="1"/>
          <w:numId w:val="16"/>
        </w:numPr>
        <w:ind w:hanging="792"/>
      </w:pPr>
      <w:bookmarkStart w:id="42" w:name="_Toc3468096"/>
      <w:r w:rsidRPr="00574747">
        <w:t>Current approach</w:t>
      </w:r>
      <w:bookmarkEnd w:id="42"/>
    </w:p>
    <w:p w14:paraId="75C6CB93" w14:textId="33B8E615" w:rsidR="005E0C1D" w:rsidRDefault="002C1C15" w:rsidP="005E0C1D">
      <w:r>
        <w:t>The</w:t>
      </w:r>
      <w:r w:rsidR="005E0C1D">
        <w:t xml:space="preserve"> current </w:t>
      </w:r>
      <w:r w:rsidR="00AB41BF">
        <w:t xml:space="preserve">measurement legislation </w:t>
      </w:r>
      <w:r w:rsidR="005E0C1D">
        <w:t>establish</w:t>
      </w:r>
      <w:r>
        <w:t>es, among other things,</w:t>
      </w:r>
      <w:r w:rsidR="005E0C1D">
        <w:t xml:space="preserve"> the units and standards of measurement for physical quantities, establish a formal basis </w:t>
      </w:r>
      <w:r w:rsidR="0067363B">
        <w:t xml:space="preserve">for </w:t>
      </w:r>
      <w:r w:rsidR="00F20269">
        <w:t xml:space="preserve">measurement </w:t>
      </w:r>
      <w:r w:rsidR="005E0C1D">
        <w:t>accuracy</w:t>
      </w:r>
      <w:r w:rsidR="0067363B">
        <w:rPr>
          <w:rStyle w:val="FootnoteReference"/>
        </w:rPr>
        <w:footnoteReference w:id="24"/>
      </w:r>
      <w:r w:rsidR="005E0C1D">
        <w:t xml:space="preserve"> and </w:t>
      </w:r>
      <w:r w:rsidR="00DA7AFC">
        <w:t>provide for their uniform use throughout Australia</w:t>
      </w:r>
      <w:r w:rsidR="005E0C1D">
        <w:t>.</w:t>
      </w:r>
    </w:p>
    <w:p w14:paraId="667CBEA9" w14:textId="1DB12283" w:rsidR="005E0C1D" w:rsidRDefault="005D143E" w:rsidP="005E0C1D">
      <w:r>
        <w:t>The l</w:t>
      </w:r>
      <w:r w:rsidR="005E0C1D">
        <w:t>egislation refers to scientific definitions of measurement and specifies their use. Key among these are prescribed units and standards of measurement</w:t>
      </w:r>
      <w:r w:rsidR="005E0C1D">
        <w:rPr>
          <w:rStyle w:val="FootnoteReference"/>
        </w:rPr>
        <w:footnoteReference w:id="25"/>
      </w:r>
      <w:r w:rsidR="005E0C1D">
        <w:t xml:space="preserve"> and the </w:t>
      </w:r>
      <w:r w:rsidR="004742B8">
        <w:t>maximum permissible uncertainties for these standards of measurement</w:t>
      </w:r>
      <w:r w:rsidR="00F97DA1">
        <w:rPr>
          <w:rStyle w:val="FootnoteReference"/>
        </w:rPr>
        <w:footnoteReference w:id="26"/>
      </w:r>
      <w:r w:rsidR="005E0C1D">
        <w:t xml:space="preserve">. </w:t>
      </w:r>
      <w:r>
        <w:t>The l</w:t>
      </w:r>
      <w:r w:rsidR="005E0C1D">
        <w:t xml:space="preserve">egislation generates legal assurance and communicates confidence in measurement through specific </w:t>
      </w:r>
      <w:r>
        <w:t xml:space="preserve">traceability </w:t>
      </w:r>
      <w:r w:rsidR="005E0C1D">
        <w:t xml:space="preserve">requirements </w:t>
      </w:r>
      <w:r w:rsidR="002C1C15">
        <w:t xml:space="preserve">such as the </w:t>
      </w:r>
      <w:r w:rsidR="005E0C1D">
        <w:t>verification of standards of measurement</w:t>
      </w:r>
      <w:r w:rsidR="005E0C1D">
        <w:rPr>
          <w:rStyle w:val="FootnoteReference"/>
        </w:rPr>
        <w:footnoteReference w:id="27"/>
      </w:r>
      <w:r w:rsidR="005E0C1D">
        <w:t xml:space="preserve"> by appointed competent authorities</w:t>
      </w:r>
      <w:r w:rsidR="005E0C1D">
        <w:rPr>
          <w:rStyle w:val="FootnoteReference"/>
        </w:rPr>
        <w:footnoteReference w:id="28"/>
      </w:r>
      <w:r w:rsidR="005E0C1D">
        <w:t xml:space="preserve"> and recording in a certificate the measurement result with a statement of its accuracy</w:t>
      </w:r>
      <w:r w:rsidR="005E0C1D">
        <w:rPr>
          <w:rStyle w:val="FootnoteReference"/>
        </w:rPr>
        <w:footnoteReference w:id="29"/>
      </w:r>
      <w:r w:rsidR="005E0C1D">
        <w:t xml:space="preserve">. </w:t>
      </w:r>
    </w:p>
    <w:p w14:paraId="0F80B967" w14:textId="43784630" w:rsidR="005E0C1D" w:rsidRDefault="005E0C1D" w:rsidP="005E0C1D">
      <w:r>
        <w:t>The ALUMs for a physical quantity are prescribed in legislation</w:t>
      </w:r>
      <w:r w:rsidR="00F97DA1">
        <w:rPr>
          <w:rStyle w:val="FootnoteReference"/>
        </w:rPr>
        <w:footnoteReference w:id="30"/>
      </w:r>
      <w:r>
        <w:t>.</w:t>
      </w:r>
      <w:r w:rsidR="00366CEF">
        <w:t xml:space="preserve"> </w:t>
      </w:r>
      <w:r>
        <w:t>They include:</w:t>
      </w:r>
    </w:p>
    <w:p w14:paraId="58555B6A" w14:textId="0D90162D" w:rsidR="001326A2" w:rsidRDefault="005E0C1D" w:rsidP="0059566C">
      <w:pPr>
        <w:pStyle w:val="ListParagraph"/>
        <w:numPr>
          <w:ilvl w:val="0"/>
          <w:numId w:val="8"/>
        </w:numPr>
      </w:pPr>
      <w:r>
        <w:t>the SI base units</w:t>
      </w:r>
      <w:r w:rsidR="005F6859">
        <w:t>:</w:t>
      </w:r>
    </w:p>
    <w:p w14:paraId="5DA0D7C9" w14:textId="2D975667" w:rsidR="001326A2" w:rsidRDefault="001326A2" w:rsidP="0059566C">
      <w:pPr>
        <w:pStyle w:val="ListParagraph"/>
        <w:numPr>
          <w:ilvl w:val="1"/>
          <w:numId w:val="8"/>
        </w:numPr>
      </w:pPr>
      <w:r>
        <w:t>kilogram (</w:t>
      </w:r>
      <w:r w:rsidR="005E0C1D">
        <w:t>kg</w:t>
      </w:r>
      <w:r>
        <w:t>) for mass</w:t>
      </w:r>
    </w:p>
    <w:p w14:paraId="7E831188" w14:textId="21DA7786" w:rsidR="001326A2" w:rsidRDefault="001326A2" w:rsidP="0059566C">
      <w:pPr>
        <w:pStyle w:val="ListParagraph"/>
        <w:numPr>
          <w:ilvl w:val="1"/>
          <w:numId w:val="8"/>
        </w:numPr>
      </w:pPr>
      <w:r>
        <w:t>second (</w:t>
      </w:r>
      <w:r w:rsidR="005E0C1D">
        <w:t>s</w:t>
      </w:r>
      <w:r>
        <w:t>) for time</w:t>
      </w:r>
    </w:p>
    <w:p w14:paraId="0544949B" w14:textId="55281BCE" w:rsidR="001326A2" w:rsidRDefault="001326A2" w:rsidP="0059566C">
      <w:pPr>
        <w:pStyle w:val="ListParagraph"/>
        <w:numPr>
          <w:ilvl w:val="1"/>
          <w:numId w:val="8"/>
        </w:numPr>
      </w:pPr>
      <w:r>
        <w:t>ampere (</w:t>
      </w:r>
      <w:r w:rsidR="005E0C1D">
        <w:t>A</w:t>
      </w:r>
      <w:r>
        <w:t>) for electric current</w:t>
      </w:r>
    </w:p>
    <w:p w14:paraId="3305BE13" w14:textId="7EBF9CA7" w:rsidR="001326A2" w:rsidRDefault="001326A2" w:rsidP="0059566C">
      <w:pPr>
        <w:pStyle w:val="ListParagraph"/>
        <w:numPr>
          <w:ilvl w:val="1"/>
          <w:numId w:val="8"/>
        </w:numPr>
      </w:pPr>
      <w:r>
        <w:t>metre (</w:t>
      </w:r>
      <w:r w:rsidR="005E0C1D">
        <w:t>m</w:t>
      </w:r>
      <w:r>
        <w:t xml:space="preserve">) for </w:t>
      </w:r>
      <w:r w:rsidR="009457A0">
        <w:t>length</w:t>
      </w:r>
    </w:p>
    <w:p w14:paraId="7E59A87A" w14:textId="17E9A550" w:rsidR="001326A2" w:rsidRDefault="001326A2" w:rsidP="0059566C">
      <w:pPr>
        <w:pStyle w:val="ListParagraph"/>
        <w:numPr>
          <w:ilvl w:val="1"/>
          <w:numId w:val="8"/>
        </w:numPr>
      </w:pPr>
      <w:r>
        <w:t>candela (</w:t>
      </w:r>
      <w:r w:rsidR="00366CEF">
        <w:t>c</w:t>
      </w:r>
      <w:r w:rsidR="005E0C1D">
        <w:t>d</w:t>
      </w:r>
      <w:r>
        <w:t>) for luminous intensity</w:t>
      </w:r>
    </w:p>
    <w:p w14:paraId="50A15EC2" w14:textId="79779E3D" w:rsidR="001326A2" w:rsidRDefault="001326A2" w:rsidP="0059566C">
      <w:pPr>
        <w:pStyle w:val="ListParagraph"/>
        <w:numPr>
          <w:ilvl w:val="1"/>
          <w:numId w:val="8"/>
        </w:numPr>
      </w:pPr>
      <w:r>
        <w:t>kelvin (</w:t>
      </w:r>
      <w:r w:rsidR="005E0C1D">
        <w:t>K</w:t>
      </w:r>
      <w:r>
        <w:t>) for thermodynamic temperature</w:t>
      </w:r>
    </w:p>
    <w:p w14:paraId="59BD1DDA" w14:textId="7CFE827E" w:rsidR="005E0C1D" w:rsidRDefault="001326A2" w:rsidP="0059566C">
      <w:pPr>
        <w:pStyle w:val="ListParagraph"/>
        <w:numPr>
          <w:ilvl w:val="1"/>
          <w:numId w:val="8"/>
        </w:numPr>
      </w:pPr>
      <w:r>
        <w:t>mole (</w:t>
      </w:r>
      <w:proofErr w:type="spellStart"/>
      <w:r w:rsidR="005E0C1D">
        <w:t>mol</w:t>
      </w:r>
      <w:proofErr w:type="spellEnd"/>
      <w:r>
        <w:t>) for amount of substance</w:t>
      </w:r>
    </w:p>
    <w:p w14:paraId="472F2B2E" w14:textId="375D2A31" w:rsidR="005E0C1D" w:rsidRDefault="005E0C1D" w:rsidP="0059566C">
      <w:pPr>
        <w:pStyle w:val="ListParagraph"/>
        <w:numPr>
          <w:ilvl w:val="0"/>
          <w:numId w:val="8"/>
        </w:numPr>
      </w:pPr>
      <w:r>
        <w:t>SI</w:t>
      </w:r>
      <w:r w:rsidR="002C1C15">
        <w:t>-</w:t>
      </w:r>
      <w:r>
        <w:t xml:space="preserve">derived units (e.g. </w:t>
      </w:r>
      <w:r w:rsidRPr="00011FEE">
        <w:t>h</w:t>
      </w:r>
      <w:r>
        <w:t>ertz (Hz) for frequency)</w:t>
      </w:r>
    </w:p>
    <w:p w14:paraId="77986EA1" w14:textId="534DEB9D" w:rsidR="005E0C1D" w:rsidRDefault="005E0C1D" w:rsidP="0059566C">
      <w:pPr>
        <w:pStyle w:val="ListParagraph"/>
        <w:numPr>
          <w:ilvl w:val="0"/>
          <w:numId w:val="8"/>
        </w:numPr>
      </w:pPr>
      <w:r>
        <w:t>some non-SI units used with SI units (e</w:t>
      </w:r>
      <w:r w:rsidR="001326A2">
        <w:t>.</w:t>
      </w:r>
      <w:r>
        <w:t xml:space="preserve">g. </w:t>
      </w:r>
      <w:r w:rsidR="005960CA">
        <w:t>h</w:t>
      </w:r>
      <w:r>
        <w:t>ectare (</w:t>
      </w:r>
      <w:r w:rsidR="00366CEF">
        <w:t>h</w:t>
      </w:r>
      <w:r>
        <w:t>a) for area; knot (</w:t>
      </w:r>
      <w:proofErr w:type="spellStart"/>
      <w:r>
        <w:t>kn</w:t>
      </w:r>
      <w:proofErr w:type="spellEnd"/>
      <w:r>
        <w:t xml:space="preserve">) for </w:t>
      </w:r>
      <w:r w:rsidRPr="005960CA">
        <w:t>v</w:t>
      </w:r>
      <w:r>
        <w:t>elocity)</w:t>
      </w:r>
    </w:p>
    <w:p w14:paraId="2DD91E69" w14:textId="3EB7A316" w:rsidR="005E0C1D" w:rsidRDefault="005E0C1D" w:rsidP="0059566C">
      <w:pPr>
        <w:pStyle w:val="ListParagraph"/>
        <w:numPr>
          <w:ilvl w:val="0"/>
          <w:numId w:val="8"/>
        </w:numPr>
      </w:pPr>
      <w:r>
        <w:t>additional derived units of measurement (</w:t>
      </w:r>
      <w:r w:rsidR="001326A2">
        <w:t xml:space="preserve">e.g. </w:t>
      </w:r>
      <w:r w:rsidR="001326A2" w:rsidRPr="005960CA">
        <w:t>v</w:t>
      </w:r>
      <w:r w:rsidR="001326A2">
        <w:t>olt ampere hour (</w:t>
      </w:r>
      <w:proofErr w:type="spellStart"/>
      <w:r w:rsidR="001326A2" w:rsidRPr="00ED0AF9">
        <w:t>V</w:t>
      </w:r>
      <w:r w:rsidR="00ED0AF9" w:rsidRPr="00ED0AF9">
        <w:t>A</w:t>
      </w:r>
      <w:r w:rsidR="001326A2" w:rsidRPr="00ED0AF9">
        <w:t>h</w:t>
      </w:r>
      <w:proofErr w:type="spellEnd"/>
      <w:r w:rsidR="001326A2" w:rsidRPr="00ED0AF9">
        <w:t>)</w:t>
      </w:r>
      <w:r w:rsidR="001326A2">
        <w:t xml:space="preserve"> for apparent energy)</w:t>
      </w:r>
    </w:p>
    <w:p w14:paraId="7D7068CC" w14:textId="04D5642E" w:rsidR="005E0C1D" w:rsidRDefault="005E0C1D" w:rsidP="0059566C">
      <w:pPr>
        <w:pStyle w:val="ListParagraph"/>
        <w:numPr>
          <w:ilvl w:val="0"/>
          <w:numId w:val="8"/>
        </w:numPr>
      </w:pPr>
      <w:r>
        <w:t>additional units of measurement for use in particular purposes</w:t>
      </w:r>
      <w:r w:rsidR="005F6859">
        <w:t xml:space="preserve"> (e.g. foot (</w:t>
      </w:r>
      <w:proofErr w:type="spellStart"/>
      <w:r w:rsidR="005F6859">
        <w:t>ft</w:t>
      </w:r>
      <w:proofErr w:type="spellEnd"/>
      <w:r w:rsidR="005F6859">
        <w:t xml:space="preserve">) for length may be used for the purpose of </w:t>
      </w:r>
      <w:r w:rsidR="00F20269">
        <w:t>measuring</w:t>
      </w:r>
      <w:r w:rsidR="005F6859">
        <w:t xml:space="preserve"> altitude </w:t>
      </w:r>
      <w:r w:rsidR="00445F2C">
        <w:t>and</w:t>
      </w:r>
      <w:r w:rsidR="005F6859">
        <w:t xml:space="preserve"> vertical separation in aviation</w:t>
      </w:r>
      <w:r w:rsidR="00445F2C">
        <w:t>,</w:t>
      </w:r>
      <w:r w:rsidR="005F6859">
        <w:t xml:space="preserve"> or submarine depth)</w:t>
      </w:r>
      <w:r>
        <w:t>.</w:t>
      </w:r>
    </w:p>
    <w:p w14:paraId="51F877D5" w14:textId="0970E6DF" w:rsidR="00434A66" w:rsidRPr="00434A66" w:rsidRDefault="00434A66" w:rsidP="00434A66">
      <w:pPr>
        <w:rPr>
          <w:rFonts w:eastAsia="Times New Roman" w:cs="Times New Roman"/>
        </w:rPr>
      </w:pPr>
      <w:r w:rsidRPr="00434A66">
        <w:rPr>
          <w:rFonts w:eastAsia="Times New Roman" w:cs="Times New Roman"/>
        </w:rPr>
        <w:lastRenderedPageBreak/>
        <w:t xml:space="preserve">NMI realises </w:t>
      </w:r>
      <w:r w:rsidR="00445F2C">
        <w:rPr>
          <w:rFonts w:eastAsia="Times New Roman" w:cs="Times New Roman"/>
        </w:rPr>
        <w:t>measurement units from their definitions</w:t>
      </w:r>
      <w:r w:rsidR="00C96946">
        <w:rPr>
          <w:rFonts w:eastAsia="Times New Roman" w:cs="Times New Roman"/>
        </w:rPr>
        <w:t>, maintains</w:t>
      </w:r>
      <w:r w:rsidR="00445F2C">
        <w:rPr>
          <w:rFonts w:eastAsia="Times New Roman" w:cs="Times New Roman"/>
        </w:rPr>
        <w:t xml:space="preserve"> appropriate</w:t>
      </w:r>
      <w:r w:rsidRPr="00434A66">
        <w:rPr>
          <w:rFonts w:eastAsia="Times New Roman" w:cs="Times New Roman"/>
        </w:rPr>
        <w:t xml:space="preserve"> standards of measurement and under the CIPM MRA participates in coordinated programs of comparisons with standards maintained by international counterparts. These activities establish the comparability and international recognition of Australia’s measurement standards and measurement capabilities. </w:t>
      </w:r>
      <w:r>
        <w:rPr>
          <w:rFonts w:eastAsia="Times New Roman" w:cs="Times New Roman"/>
        </w:rPr>
        <w:t>As a result, these activities contribute</w:t>
      </w:r>
      <w:r w:rsidR="006227B6">
        <w:rPr>
          <w:rFonts w:eastAsia="Times New Roman" w:cs="Times New Roman"/>
        </w:rPr>
        <w:t xml:space="preserve"> to</w:t>
      </w:r>
      <w:r>
        <w:rPr>
          <w:rFonts w:eastAsia="Times New Roman" w:cs="Times New Roman"/>
        </w:rPr>
        <w:t xml:space="preserve"> </w:t>
      </w:r>
      <w:r w:rsidR="00445F2C">
        <w:rPr>
          <w:rFonts w:eastAsia="Times New Roman" w:cs="Times New Roman"/>
        </w:rPr>
        <w:t>reducing</w:t>
      </w:r>
      <w:r>
        <w:rPr>
          <w:rFonts w:eastAsia="Times New Roman" w:cs="Times New Roman"/>
        </w:rPr>
        <w:t xml:space="preserve"> the technical barriers to international trade.</w:t>
      </w:r>
    </w:p>
    <w:p w14:paraId="4F47A5D0" w14:textId="0A5EE90A" w:rsidR="006E0114" w:rsidRDefault="006E0114" w:rsidP="006E0114">
      <w:pPr>
        <w:rPr>
          <w:strike/>
        </w:rPr>
      </w:pPr>
      <w:r>
        <w:t xml:space="preserve">The Commonwealth additionally appoints third parties (Verifying Authorities, Certifying Authorities) with the relevant competence to </w:t>
      </w:r>
      <w:r w:rsidRPr="006E0114">
        <w:t xml:space="preserve">provide traceable measurements which contribute to </w:t>
      </w:r>
      <w:r>
        <w:t xml:space="preserve">ongoing accuracy of measurement. Their roles include, for example: </w:t>
      </w:r>
    </w:p>
    <w:p w14:paraId="0AB102D8" w14:textId="664661F2" w:rsidR="006E0114" w:rsidRDefault="006E0114" w:rsidP="0059566C">
      <w:pPr>
        <w:pStyle w:val="ListParagraph"/>
        <w:numPr>
          <w:ilvl w:val="0"/>
          <w:numId w:val="10"/>
        </w:numPr>
      </w:pPr>
      <w:r>
        <w:t>verification of reference standards of measurement and physical quantities of artefacts, and</w:t>
      </w:r>
    </w:p>
    <w:p w14:paraId="43C6C99F" w14:textId="4B7518D4" w:rsidR="006E0114" w:rsidRDefault="006E0114" w:rsidP="0059566C">
      <w:pPr>
        <w:pStyle w:val="ListParagraph"/>
        <w:numPr>
          <w:ilvl w:val="0"/>
          <w:numId w:val="10"/>
        </w:numPr>
      </w:pPr>
      <w:r>
        <w:t>certifying reference materials or measuring instruments.</w:t>
      </w:r>
    </w:p>
    <w:p w14:paraId="3C31B898" w14:textId="6FBD67CD" w:rsidR="006E0114" w:rsidRDefault="006E0114" w:rsidP="006E0114">
      <w:r w:rsidRPr="006E0114">
        <w:t xml:space="preserve">Third parties communicate </w:t>
      </w:r>
      <w:r>
        <w:t>the traceability of measurements through certificates issued under the Act.</w:t>
      </w:r>
    </w:p>
    <w:p w14:paraId="3A1765B8" w14:textId="77777777" w:rsidR="005E0C1D" w:rsidRDefault="005E0C1D" w:rsidP="005E0C1D">
      <w:pPr>
        <w:pStyle w:val="Casestudy"/>
        <w:rPr>
          <w:lang w:val="en"/>
        </w:rPr>
      </w:pPr>
      <w:r w:rsidRPr="00EB285D">
        <w:rPr>
          <w:b/>
          <w:lang w:val="en"/>
        </w:rPr>
        <w:t>Example of traceable measurement in practice</w:t>
      </w:r>
      <w:r>
        <w:rPr>
          <w:lang w:val="en"/>
        </w:rPr>
        <w:t>:</w:t>
      </w:r>
    </w:p>
    <w:p w14:paraId="2EA62673" w14:textId="121CE770" w:rsidR="005E0C1D" w:rsidRDefault="005E0C1D" w:rsidP="005E0C1D">
      <w:pPr>
        <w:pStyle w:val="Casestudy"/>
        <w:rPr>
          <w:lang w:val="en"/>
        </w:rPr>
      </w:pPr>
      <w:r>
        <w:rPr>
          <w:lang w:val="en"/>
        </w:rPr>
        <w:t xml:space="preserve">The traceability of a physical quantity is evidenced through certificates issued by NMI to, for example, calibration laboratories. These certificates attest to the accuracy of the reference standards used by calibration laboratories (for example a gauge block, mass sets, </w:t>
      </w:r>
      <w:r w:rsidR="00D137F1">
        <w:rPr>
          <w:lang w:val="en"/>
        </w:rPr>
        <w:t>and thermometers</w:t>
      </w:r>
      <w:r>
        <w:rPr>
          <w:lang w:val="en"/>
        </w:rPr>
        <w:t>). The certificates under the Act provide assurance that measurements are checked against reference standards and are what they purport to be. Certificates are accepted as evidence in courts of law.</w:t>
      </w:r>
    </w:p>
    <w:p w14:paraId="59F2EEC0" w14:textId="7DAEFFC2" w:rsidR="005F6859" w:rsidRPr="00574747" w:rsidRDefault="005F6859" w:rsidP="0059566C">
      <w:pPr>
        <w:pStyle w:val="Heading2"/>
        <w:numPr>
          <w:ilvl w:val="1"/>
          <w:numId w:val="16"/>
        </w:numPr>
        <w:ind w:hanging="792"/>
      </w:pPr>
      <w:bookmarkStart w:id="43" w:name="_Toc3468097"/>
      <w:r w:rsidRPr="00574747">
        <w:t>Issues and questions:</w:t>
      </w:r>
      <w:bookmarkEnd w:id="43"/>
    </w:p>
    <w:p w14:paraId="543F029E" w14:textId="2C21165F" w:rsidR="005F6859" w:rsidRDefault="005F6859" w:rsidP="000546D6">
      <w:pPr>
        <w:pStyle w:val="Heading4"/>
        <w:numPr>
          <w:ilvl w:val="2"/>
          <w:numId w:val="16"/>
        </w:numPr>
        <w:ind w:left="709" w:hanging="709"/>
      </w:pPr>
      <w:r>
        <w:t>Prescriptiveness of legislation</w:t>
      </w:r>
    </w:p>
    <w:p w14:paraId="6C3FF650" w14:textId="46912728" w:rsidR="005F6859" w:rsidRPr="009C4410" w:rsidRDefault="005F6859" w:rsidP="005F6859">
      <w:pPr>
        <w:rPr>
          <w:rFonts w:cstheme="minorHAnsi"/>
        </w:rPr>
      </w:pPr>
      <w:r>
        <w:t>In 2015, a review of Australia’s legal metrology activities found the legislation to be overly prescriptive</w:t>
      </w:r>
      <w:r w:rsidRPr="009C4410">
        <w:rPr>
          <w:rFonts w:cstheme="minorHAnsi"/>
        </w:rPr>
        <w:t>, and</w:t>
      </w:r>
      <w:r>
        <w:rPr>
          <w:rFonts w:cstheme="minorHAnsi"/>
        </w:rPr>
        <w:t xml:space="preserve"> recommended that it</w:t>
      </w:r>
      <w:r w:rsidRPr="009C4410">
        <w:rPr>
          <w:rFonts w:cstheme="minorHAnsi"/>
        </w:rPr>
        <w:t xml:space="preserve"> could be </w:t>
      </w:r>
      <w:r w:rsidRPr="009F37F4">
        <w:rPr>
          <w:rFonts w:eastAsia="Calibri" w:cstheme="minorHAnsi"/>
          <w:szCs w:val="20"/>
        </w:rPr>
        <w:t xml:space="preserve">modernised and streamlined </w:t>
      </w:r>
      <w:r>
        <w:rPr>
          <w:rFonts w:eastAsia="Calibri" w:cstheme="minorHAnsi"/>
          <w:szCs w:val="20"/>
        </w:rPr>
        <w:t>using</w:t>
      </w:r>
      <w:r w:rsidRPr="009F37F4">
        <w:rPr>
          <w:rFonts w:eastAsia="Calibri" w:cstheme="minorHAnsi"/>
          <w:szCs w:val="20"/>
        </w:rPr>
        <w:t xml:space="preserve"> </w:t>
      </w:r>
      <w:r w:rsidRPr="009C4410">
        <w:rPr>
          <w:rFonts w:cstheme="minorHAnsi"/>
        </w:rPr>
        <w:t>best practice regulatory framework</w:t>
      </w:r>
      <w:r>
        <w:rPr>
          <w:rFonts w:cstheme="minorHAnsi"/>
        </w:rPr>
        <w:t>s</w:t>
      </w:r>
      <w:r w:rsidRPr="009C4410">
        <w:rPr>
          <w:rFonts w:cstheme="minorHAnsi"/>
        </w:rPr>
        <w:t xml:space="preserve">. </w:t>
      </w:r>
    </w:p>
    <w:p w14:paraId="6CD94BD4" w14:textId="77777777" w:rsidR="005F6859" w:rsidRDefault="005F6859" w:rsidP="005F6859">
      <w:pPr>
        <w:ind w:left="720"/>
        <w:rPr>
          <w:iCs/>
          <w:szCs w:val="20"/>
        </w:rPr>
      </w:pPr>
      <w:r w:rsidRPr="004F6CB0">
        <w:rPr>
          <w:iCs/>
          <w:szCs w:val="20"/>
        </w:rPr>
        <w:t>Question</w:t>
      </w:r>
      <w:r>
        <w:rPr>
          <w:iCs/>
          <w:szCs w:val="20"/>
        </w:rPr>
        <w:t>s</w:t>
      </w:r>
      <w:r w:rsidRPr="004F6CB0">
        <w:rPr>
          <w:iCs/>
          <w:szCs w:val="20"/>
        </w:rPr>
        <w:t>:</w:t>
      </w:r>
    </w:p>
    <w:p w14:paraId="673EEC17" w14:textId="74A21659" w:rsidR="005F6859" w:rsidRPr="005B3830" w:rsidRDefault="00F825A9" w:rsidP="006E0F9C">
      <w:pPr>
        <w:ind w:left="1440" w:hanging="720"/>
      </w:pPr>
      <w:r w:rsidRPr="00C45D6D">
        <w:rPr>
          <w:rFonts w:asciiTheme="majorHAnsi" w:eastAsia="Times New Roman" w:hAnsiTheme="majorHAnsi" w:cs="Arial"/>
        </w:rPr>
        <w:t xml:space="preserve">4.2.1.a. </w:t>
      </w:r>
      <w:r w:rsidR="00E55CBA" w:rsidRPr="00C45D6D">
        <w:rPr>
          <w:rFonts w:asciiTheme="majorHAnsi" w:eastAsia="Times New Roman" w:hAnsiTheme="majorHAnsi" w:cs="Arial"/>
          <w:szCs w:val="20"/>
        </w:rPr>
        <w:t>What</w:t>
      </w:r>
      <w:r w:rsidR="00E55CBA" w:rsidRPr="00C45D6D">
        <w:rPr>
          <w:iCs/>
          <w:szCs w:val="20"/>
        </w:rPr>
        <w:t xml:space="preserve"> </w:t>
      </w:r>
      <w:r w:rsidR="005F6859" w:rsidRPr="00C45D6D">
        <w:rPr>
          <w:iCs/>
          <w:szCs w:val="20"/>
        </w:rPr>
        <w:t xml:space="preserve">elements of the measurement framework are currently too prescriptive? </w:t>
      </w:r>
    </w:p>
    <w:p w14:paraId="73F413BB" w14:textId="028D6A82" w:rsidR="005F6859" w:rsidRPr="006E0F9C" w:rsidRDefault="00F825A9" w:rsidP="006E0F9C">
      <w:pPr>
        <w:ind w:left="1440" w:hanging="720"/>
        <w:rPr>
          <w:rFonts w:asciiTheme="majorHAnsi" w:eastAsia="Times New Roman" w:hAnsiTheme="majorHAnsi" w:cs="Arial"/>
          <w:szCs w:val="20"/>
        </w:rPr>
      </w:pPr>
      <w:r>
        <w:t xml:space="preserve">4.2.1.b. </w:t>
      </w:r>
      <w:r w:rsidR="005F6859" w:rsidRPr="006E0F9C">
        <w:rPr>
          <w:rFonts w:asciiTheme="majorHAnsi" w:eastAsia="Times New Roman" w:hAnsiTheme="majorHAnsi" w:cs="Arial"/>
          <w:szCs w:val="20"/>
        </w:rPr>
        <w:t xml:space="preserve">How and where should flexibility be incorporated to ensure the framework is </w:t>
      </w:r>
      <w:r w:rsidR="00D66EB2" w:rsidRPr="006E0F9C">
        <w:rPr>
          <w:rFonts w:asciiTheme="majorHAnsi" w:eastAsia="Times New Roman" w:hAnsiTheme="majorHAnsi" w:cs="Arial"/>
          <w:szCs w:val="20"/>
        </w:rPr>
        <w:t xml:space="preserve">both </w:t>
      </w:r>
      <w:r w:rsidR="005F6859" w:rsidRPr="006E0F9C">
        <w:rPr>
          <w:rFonts w:asciiTheme="majorHAnsi" w:eastAsia="Times New Roman" w:hAnsiTheme="majorHAnsi" w:cs="Arial"/>
          <w:szCs w:val="20"/>
        </w:rPr>
        <w:t xml:space="preserve">robust </w:t>
      </w:r>
      <w:r w:rsidR="00C138B0" w:rsidRPr="006E0F9C">
        <w:rPr>
          <w:rFonts w:asciiTheme="majorHAnsi" w:eastAsia="Times New Roman" w:hAnsiTheme="majorHAnsi" w:cs="Arial"/>
          <w:szCs w:val="20"/>
        </w:rPr>
        <w:t xml:space="preserve">but </w:t>
      </w:r>
      <w:r w:rsidR="00D66EB2" w:rsidRPr="006E0F9C">
        <w:rPr>
          <w:rFonts w:asciiTheme="majorHAnsi" w:eastAsia="Times New Roman" w:hAnsiTheme="majorHAnsi" w:cs="Arial"/>
          <w:szCs w:val="20"/>
        </w:rPr>
        <w:t xml:space="preserve">also </w:t>
      </w:r>
      <w:r w:rsidR="00C138B0" w:rsidRPr="006E0F9C">
        <w:rPr>
          <w:rFonts w:asciiTheme="majorHAnsi" w:eastAsia="Times New Roman" w:hAnsiTheme="majorHAnsi" w:cs="Arial"/>
          <w:szCs w:val="20"/>
        </w:rPr>
        <w:t xml:space="preserve">adaptable </w:t>
      </w:r>
      <w:r w:rsidR="005F6859" w:rsidRPr="006E0F9C">
        <w:rPr>
          <w:rFonts w:asciiTheme="majorHAnsi" w:eastAsia="Times New Roman" w:hAnsiTheme="majorHAnsi" w:cs="Arial"/>
          <w:szCs w:val="20"/>
        </w:rPr>
        <w:t xml:space="preserve">into the future? </w:t>
      </w:r>
    </w:p>
    <w:p w14:paraId="75A5E3EB" w14:textId="44F29E79" w:rsidR="005F6859" w:rsidRPr="006E0F9C" w:rsidRDefault="00F825A9" w:rsidP="006E0F9C">
      <w:pPr>
        <w:ind w:left="1440" w:hanging="720"/>
        <w:rPr>
          <w:rFonts w:asciiTheme="majorHAnsi" w:eastAsia="Times New Roman" w:hAnsiTheme="majorHAnsi" w:cs="Arial"/>
          <w:szCs w:val="20"/>
        </w:rPr>
      </w:pPr>
      <w:r>
        <w:t xml:space="preserve">4.2.1.c. </w:t>
      </w:r>
      <w:r w:rsidR="005F6859" w:rsidRPr="006E0F9C">
        <w:rPr>
          <w:rFonts w:asciiTheme="majorHAnsi" w:eastAsia="Times New Roman" w:hAnsiTheme="majorHAnsi" w:cs="Arial"/>
          <w:szCs w:val="20"/>
        </w:rPr>
        <w:t>How could a principles-based approach be implemented for traceability of measurements of physical quantities?</w:t>
      </w:r>
    </w:p>
    <w:p w14:paraId="1A02932A" w14:textId="77777777" w:rsidR="000468C8" w:rsidRPr="00D66EB2" w:rsidRDefault="000468C8" w:rsidP="00C32872">
      <w:pPr>
        <w:ind w:left="1440"/>
        <w:contextualSpacing/>
        <w:rPr>
          <w:rFonts w:asciiTheme="majorHAnsi" w:eastAsia="Times New Roman" w:hAnsiTheme="majorHAnsi" w:cs="Arial"/>
          <w:szCs w:val="20"/>
        </w:rPr>
      </w:pPr>
    </w:p>
    <w:p w14:paraId="7825994A" w14:textId="7C7BEE44" w:rsidR="005F6859" w:rsidRDefault="00E07FC9" w:rsidP="000546D6">
      <w:pPr>
        <w:pStyle w:val="Heading4"/>
        <w:numPr>
          <w:ilvl w:val="2"/>
          <w:numId w:val="16"/>
        </w:numPr>
        <w:ind w:left="709" w:hanging="709"/>
      </w:pPr>
      <w:r>
        <w:t>Traceability of measurement results from s</w:t>
      </w:r>
      <w:r w:rsidR="005F6859">
        <w:t xml:space="preserve">elf-calibrating devices: </w:t>
      </w:r>
    </w:p>
    <w:p w14:paraId="1F29E898" w14:textId="77777777" w:rsidR="00697516" w:rsidRDefault="005F6859" w:rsidP="005F6859">
      <w:pPr>
        <w:rPr>
          <w:rFonts w:cstheme="minorHAnsi"/>
        </w:rPr>
      </w:pPr>
      <w:r>
        <w:rPr>
          <w:szCs w:val="20"/>
        </w:rPr>
        <w:t xml:space="preserve">In recent years, there has been an increase in instruments that </w:t>
      </w:r>
      <w:r w:rsidR="00A97D5B">
        <w:rPr>
          <w:szCs w:val="20"/>
        </w:rPr>
        <w:t xml:space="preserve">claim to </w:t>
      </w:r>
      <w:r w:rsidR="006F4125">
        <w:rPr>
          <w:szCs w:val="20"/>
        </w:rPr>
        <w:t>self-</w:t>
      </w:r>
      <w:r>
        <w:rPr>
          <w:szCs w:val="20"/>
        </w:rPr>
        <w:t>calibrat</w:t>
      </w:r>
      <w:r w:rsidR="006F4125">
        <w:rPr>
          <w:szCs w:val="20"/>
        </w:rPr>
        <w:t xml:space="preserve">e </w:t>
      </w:r>
      <w:r>
        <w:rPr>
          <w:szCs w:val="20"/>
        </w:rPr>
        <w:t xml:space="preserve">against a built-in reference. For example, there are: weighing instruments that have inbuilt technology to self-calibrate for ongoing accuracy; </w:t>
      </w:r>
      <w:r w:rsidRPr="005B4841">
        <w:rPr>
          <w:rFonts w:cstheme="minorHAnsi"/>
        </w:rPr>
        <w:t xml:space="preserve">temperature </w:t>
      </w:r>
      <w:r>
        <w:rPr>
          <w:rFonts w:cstheme="minorHAnsi"/>
        </w:rPr>
        <w:t xml:space="preserve">sensors </w:t>
      </w:r>
      <w:r w:rsidRPr="005B4841">
        <w:rPr>
          <w:rFonts w:cstheme="minorHAnsi"/>
        </w:rPr>
        <w:t xml:space="preserve">that </w:t>
      </w:r>
      <w:r>
        <w:rPr>
          <w:rFonts w:cstheme="minorHAnsi"/>
        </w:rPr>
        <w:t>are claimed by ma</w:t>
      </w:r>
      <w:r w:rsidR="00CE4487">
        <w:rPr>
          <w:rFonts w:cstheme="minorHAnsi"/>
        </w:rPr>
        <w:t>n</w:t>
      </w:r>
      <w:r>
        <w:rPr>
          <w:rFonts w:cstheme="minorHAnsi"/>
        </w:rPr>
        <w:t xml:space="preserve">ufacturers to “self-calibrate” and </w:t>
      </w:r>
      <w:r w:rsidRPr="005B4841">
        <w:rPr>
          <w:rFonts w:cstheme="minorHAnsi"/>
        </w:rPr>
        <w:t xml:space="preserve">digitally store a </w:t>
      </w:r>
      <w:r w:rsidRPr="005B4841">
        <w:rPr>
          <w:rFonts w:cstheme="minorHAnsi"/>
          <w:color w:val="2B2B2B"/>
        </w:rPr>
        <w:t>calibration</w:t>
      </w:r>
      <w:r>
        <w:rPr>
          <w:rFonts w:cstheme="minorHAnsi"/>
          <w:color w:val="2B2B2B"/>
        </w:rPr>
        <w:t xml:space="preserve"> history</w:t>
      </w:r>
      <w:r>
        <w:rPr>
          <w:rFonts w:cstheme="minorHAnsi"/>
        </w:rPr>
        <w:t>; flowmeters that use big-data</w:t>
      </w:r>
      <w:r w:rsidR="001852BF">
        <w:rPr>
          <w:rFonts w:cstheme="minorHAnsi"/>
        </w:rPr>
        <w:t xml:space="preserve">, </w:t>
      </w:r>
      <w:r>
        <w:rPr>
          <w:rFonts w:cstheme="minorHAnsi"/>
        </w:rPr>
        <w:t>A</w:t>
      </w:r>
      <w:r w:rsidR="001852BF">
        <w:rPr>
          <w:rFonts w:cstheme="minorHAnsi"/>
        </w:rPr>
        <w:t xml:space="preserve">rtificial </w:t>
      </w:r>
      <w:r>
        <w:rPr>
          <w:rFonts w:cstheme="minorHAnsi"/>
        </w:rPr>
        <w:t>I</w:t>
      </w:r>
      <w:r w:rsidR="001852BF">
        <w:rPr>
          <w:rFonts w:cstheme="minorHAnsi"/>
        </w:rPr>
        <w:t>ntelligence (AI)</w:t>
      </w:r>
      <w:r>
        <w:rPr>
          <w:rFonts w:cstheme="minorHAnsi"/>
        </w:rPr>
        <w:t xml:space="preserve"> and cloud-data techniques to provide “health-check” assurances of ongoing accuracy. </w:t>
      </w:r>
    </w:p>
    <w:p w14:paraId="5576B3E0" w14:textId="4A8E2EDA" w:rsidR="005F6859" w:rsidRPr="0050730B" w:rsidRDefault="005F6859" w:rsidP="00697516">
      <w:pPr>
        <w:ind w:left="720"/>
        <w:rPr>
          <w:sz w:val="10"/>
          <w:szCs w:val="20"/>
        </w:rPr>
      </w:pPr>
    </w:p>
    <w:p w14:paraId="77D7753C" w14:textId="504412F7" w:rsidR="005F6859" w:rsidRDefault="005F6859" w:rsidP="005F6859">
      <w:pPr>
        <w:ind w:left="720"/>
        <w:rPr>
          <w:szCs w:val="20"/>
        </w:rPr>
      </w:pPr>
      <w:r>
        <w:rPr>
          <w:szCs w:val="20"/>
        </w:rPr>
        <w:t>Question</w:t>
      </w:r>
      <w:r w:rsidR="00656765">
        <w:rPr>
          <w:szCs w:val="20"/>
        </w:rPr>
        <w:t>s</w:t>
      </w:r>
      <w:r>
        <w:rPr>
          <w:szCs w:val="20"/>
        </w:rPr>
        <w:t>:</w:t>
      </w:r>
    </w:p>
    <w:p w14:paraId="2D1A03C9" w14:textId="77777777" w:rsidR="002E12C9" w:rsidRDefault="002E12C9" w:rsidP="002E12C9">
      <w:pPr>
        <w:ind w:left="1440" w:hanging="720"/>
        <w:contextualSpacing/>
        <w:rPr>
          <w:rFonts w:ascii="Arial" w:hAnsi="Arial" w:cs="Arial"/>
        </w:rPr>
      </w:pPr>
      <w:r>
        <w:rPr>
          <w:rFonts w:ascii="Arial" w:hAnsi="Arial" w:cs="Arial"/>
        </w:rPr>
        <w:t>4.2.2.a. What legal assurances should be in place to provide confidence in self-calibrating devices?</w:t>
      </w:r>
    </w:p>
    <w:p w14:paraId="5A1006DE" w14:textId="69480412" w:rsidR="002E12C9" w:rsidRDefault="002E12C9" w:rsidP="002E12C9">
      <w:pPr>
        <w:ind w:left="1440" w:hanging="720"/>
        <w:contextualSpacing/>
        <w:rPr>
          <w:rFonts w:ascii="Arial" w:hAnsi="Arial" w:cs="Arial"/>
        </w:rPr>
      </w:pPr>
      <w:r>
        <w:rPr>
          <w:rFonts w:ascii="Arial" w:hAnsi="Arial" w:cs="Arial"/>
        </w:rPr>
        <w:t>4.2.2.b. In what circumstances should inbuilt reference</w:t>
      </w:r>
      <w:r w:rsidR="004B6EE2">
        <w:rPr>
          <w:rFonts w:ascii="Arial" w:hAnsi="Arial" w:cs="Arial"/>
        </w:rPr>
        <w:t>s</w:t>
      </w:r>
      <w:r>
        <w:rPr>
          <w:rFonts w:ascii="Arial" w:hAnsi="Arial" w:cs="Arial"/>
        </w:rPr>
        <w:t xml:space="preserve"> for self-verifying instruments be traceable? </w:t>
      </w:r>
    </w:p>
    <w:p w14:paraId="33E44C1D" w14:textId="5E98725C" w:rsidR="002E12C9" w:rsidRDefault="002E12C9" w:rsidP="002E12C9">
      <w:pPr>
        <w:ind w:left="1440" w:hanging="720"/>
        <w:contextualSpacing/>
        <w:rPr>
          <w:rFonts w:ascii="Arial" w:hAnsi="Arial" w:cs="Arial"/>
        </w:rPr>
      </w:pPr>
      <w:r>
        <w:rPr>
          <w:rFonts w:ascii="Arial" w:hAnsi="Arial" w:cs="Arial"/>
        </w:rPr>
        <w:lastRenderedPageBreak/>
        <w:t>4.2.2.c. How would verification of built-in references assure traceability for self-calibrating devices? What should this approach look like?</w:t>
      </w:r>
    </w:p>
    <w:p w14:paraId="5848C9BA" w14:textId="77777777" w:rsidR="002E12C9" w:rsidRDefault="002E12C9" w:rsidP="002E12C9">
      <w:pPr>
        <w:ind w:left="1440" w:hanging="720"/>
        <w:contextualSpacing/>
        <w:rPr>
          <w:rFonts w:ascii="Arial" w:hAnsi="Arial" w:cs="Arial"/>
        </w:rPr>
      </w:pPr>
      <w:r>
        <w:rPr>
          <w:rFonts w:ascii="Arial" w:hAnsi="Arial" w:cs="Arial"/>
        </w:rPr>
        <w:t>4.2.2.d. How important is it for the user to know whether a manufacturer’s claims that devices are self-calibrating are supported and accepted by the legal framework? Please give an example.</w:t>
      </w:r>
    </w:p>
    <w:p w14:paraId="7B6FD290" w14:textId="19680B17" w:rsidR="002E12C9" w:rsidRDefault="002E12C9" w:rsidP="002E12C9">
      <w:pPr>
        <w:ind w:left="1440" w:hanging="720"/>
        <w:contextualSpacing/>
        <w:rPr>
          <w:rFonts w:ascii="Arial" w:hAnsi="Arial" w:cs="Arial"/>
          <w:u w:val="single"/>
        </w:rPr>
      </w:pPr>
      <w:r>
        <w:rPr>
          <w:rFonts w:ascii="Arial" w:hAnsi="Arial" w:cs="Arial"/>
        </w:rPr>
        <w:t>4.2.2.e. What should be the government’s role in assuring traceability of built-in references to self-calibrating instruments?</w:t>
      </w:r>
      <w:r w:rsidR="006F48BB">
        <w:rPr>
          <w:rFonts w:ascii="Arial" w:hAnsi="Arial" w:cs="Arial"/>
        </w:rPr>
        <w:t xml:space="preserve"> </w:t>
      </w:r>
    </w:p>
    <w:p w14:paraId="746DAA47" w14:textId="77777777" w:rsidR="000E4C02" w:rsidRPr="00C62D09" w:rsidRDefault="000E4C02" w:rsidP="00C62D09">
      <w:pPr>
        <w:ind w:left="1440"/>
        <w:contextualSpacing/>
        <w:rPr>
          <w:rFonts w:asciiTheme="majorHAnsi" w:eastAsia="Times New Roman" w:hAnsiTheme="majorHAnsi" w:cs="Arial"/>
          <w:szCs w:val="20"/>
        </w:rPr>
      </w:pPr>
    </w:p>
    <w:p w14:paraId="67A3B2DC" w14:textId="1048059D" w:rsidR="005F6859" w:rsidRDefault="00B868AB" w:rsidP="000546D6">
      <w:pPr>
        <w:pStyle w:val="Heading4"/>
        <w:numPr>
          <w:ilvl w:val="2"/>
          <w:numId w:val="16"/>
        </w:numPr>
        <w:ind w:left="709" w:hanging="709"/>
      </w:pPr>
      <w:r>
        <w:t xml:space="preserve">Traceability of </w:t>
      </w:r>
      <w:r w:rsidR="005F6859">
        <w:t>measurement</w:t>
      </w:r>
      <w:r w:rsidR="008A6B80">
        <w:t xml:space="preserve"> result</w:t>
      </w:r>
      <w:r w:rsidR="005F6859">
        <w:t>s</w:t>
      </w:r>
      <w:r w:rsidR="00434A66">
        <w:t xml:space="preserve"> associated with new </w:t>
      </w:r>
      <w:r w:rsidR="002F6236">
        <w:t>technologies</w:t>
      </w:r>
    </w:p>
    <w:p w14:paraId="18D6C40B" w14:textId="657463AD" w:rsidR="00445F2C" w:rsidRDefault="00A94B04" w:rsidP="00445F2C">
      <w:pPr>
        <w:rPr>
          <w:szCs w:val="20"/>
        </w:rPr>
      </w:pPr>
      <w:r>
        <w:rPr>
          <w:szCs w:val="20"/>
        </w:rPr>
        <w:t>T</w:t>
      </w:r>
      <w:r w:rsidR="005F6859">
        <w:rPr>
          <w:szCs w:val="20"/>
        </w:rPr>
        <w:t xml:space="preserve">he internet and digital technologies </w:t>
      </w:r>
      <w:r w:rsidR="00B868AB">
        <w:rPr>
          <w:szCs w:val="20"/>
        </w:rPr>
        <w:t xml:space="preserve">have increasingly been </w:t>
      </w:r>
      <w:r w:rsidR="005F6859">
        <w:rPr>
          <w:szCs w:val="20"/>
        </w:rPr>
        <w:t xml:space="preserve">changing the way we do many things, including measurements. </w:t>
      </w:r>
      <w:r w:rsidR="00445F2C">
        <w:rPr>
          <w:szCs w:val="20"/>
        </w:rPr>
        <w:t>The value of data flows traded as of 2015 nearly matched that of the global trade in physical goods</w:t>
      </w:r>
      <w:r w:rsidR="00F97DA1">
        <w:rPr>
          <w:rStyle w:val="FootnoteReference"/>
          <w:szCs w:val="20"/>
        </w:rPr>
        <w:footnoteReference w:id="31"/>
      </w:r>
      <w:r w:rsidR="00445F2C">
        <w:rPr>
          <w:szCs w:val="20"/>
        </w:rPr>
        <w:t xml:space="preserve">. </w:t>
      </w:r>
      <w:r w:rsidR="005F6859">
        <w:rPr>
          <w:szCs w:val="20"/>
        </w:rPr>
        <w:t>Innovations are driven by technologies, such as the Internet of Things (</w:t>
      </w:r>
      <w:proofErr w:type="spellStart"/>
      <w:r w:rsidR="005F6859">
        <w:rPr>
          <w:szCs w:val="20"/>
        </w:rPr>
        <w:t>IoT</w:t>
      </w:r>
      <w:proofErr w:type="spellEnd"/>
      <w:r w:rsidR="005F6859">
        <w:rPr>
          <w:szCs w:val="20"/>
        </w:rPr>
        <w:t xml:space="preserve">) and cloud computing. </w:t>
      </w:r>
      <w:r w:rsidR="00445F2C" w:rsidDel="00FD2B5E">
        <w:rPr>
          <w:szCs w:val="20"/>
        </w:rPr>
        <w:t xml:space="preserve">These technologies enable data flows across national borders. </w:t>
      </w:r>
      <w:r w:rsidR="005F6859">
        <w:rPr>
          <w:szCs w:val="20"/>
        </w:rPr>
        <w:t>P</w:t>
      </w:r>
      <w:r w:rsidR="005F6859">
        <w:rPr>
          <w:color w:val="001A1A"/>
          <w:szCs w:val="20"/>
        </w:rPr>
        <w:t>hysical objects are increasingly being integrated into the global information network through sensors that may be connected to servers in another country.</w:t>
      </w:r>
      <w:r w:rsidR="005F6859">
        <w:rPr>
          <w:szCs w:val="20"/>
        </w:rPr>
        <w:t xml:space="preserve"> The user might not know </w:t>
      </w:r>
      <w:r w:rsidR="00710869">
        <w:rPr>
          <w:szCs w:val="20"/>
        </w:rPr>
        <w:t>whether measurement results are traceable to internationally agreed standards of measurement</w:t>
      </w:r>
      <w:r w:rsidR="005F6859">
        <w:rPr>
          <w:szCs w:val="20"/>
        </w:rPr>
        <w:t xml:space="preserve"> </w:t>
      </w:r>
      <w:r w:rsidR="00710869">
        <w:rPr>
          <w:szCs w:val="20"/>
        </w:rPr>
        <w:t xml:space="preserve">(e.g. the SI) </w:t>
      </w:r>
      <w:r w:rsidR="005F6859">
        <w:rPr>
          <w:szCs w:val="20"/>
        </w:rPr>
        <w:t xml:space="preserve">and/or whether verification is done through a framework outside the Australian jurisdiction. </w:t>
      </w:r>
      <w:r w:rsidR="00B868AB">
        <w:rPr>
          <w:szCs w:val="20"/>
        </w:rPr>
        <w:t xml:space="preserve"> In addition, </w:t>
      </w:r>
      <w:r w:rsidR="00D81163" w:rsidRPr="00AD3FBB">
        <w:rPr>
          <w:rFonts w:eastAsia="Times New Roman" w:cs="Times New Roman"/>
        </w:rPr>
        <w:t xml:space="preserve">underlying data and algorithms are </w:t>
      </w:r>
      <w:r w:rsidR="00445F2C">
        <w:rPr>
          <w:rFonts w:eastAsia="Times New Roman" w:cs="Times New Roman"/>
        </w:rPr>
        <w:t xml:space="preserve">often </w:t>
      </w:r>
      <w:r w:rsidR="00D81163" w:rsidRPr="00AD3FBB">
        <w:rPr>
          <w:rFonts w:eastAsia="Times New Roman" w:cs="Times New Roman"/>
        </w:rPr>
        <w:t xml:space="preserve">owned by the manufacturer and </w:t>
      </w:r>
      <w:r w:rsidR="00445F2C">
        <w:rPr>
          <w:rFonts w:eastAsia="Times New Roman" w:cs="Times New Roman"/>
        </w:rPr>
        <w:t>may be</w:t>
      </w:r>
      <w:r w:rsidR="00D81163" w:rsidRPr="00AD3FBB">
        <w:rPr>
          <w:rFonts w:eastAsia="Times New Roman" w:cs="Times New Roman"/>
        </w:rPr>
        <w:t xml:space="preserve"> subject to ongoing change outside the control of the user</w:t>
      </w:r>
      <w:r w:rsidR="00D81163">
        <w:rPr>
          <w:rFonts w:eastAsia="Times New Roman" w:cs="Times New Roman"/>
        </w:rPr>
        <w:t>.</w:t>
      </w:r>
    </w:p>
    <w:p w14:paraId="022B86F5" w14:textId="77777777" w:rsidR="00445F2C" w:rsidRDefault="00445F2C" w:rsidP="00445F2C">
      <w:pPr>
        <w:ind w:left="720"/>
        <w:rPr>
          <w:szCs w:val="20"/>
        </w:rPr>
      </w:pPr>
      <w:r>
        <w:rPr>
          <w:szCs w:val="20"/>
        </w:rPr>
        <w:t xml:space="preserve">Questions: </w:t>
      </w:r>
    </w:p>
    <w:p w14:paraId="5F69048C" w14:textId="77777777" w:rsidR="003E74BF" w:rsidRDefault="00F825A9" w:rsidP="006E0F9C">
      <w:pPr>
        <w:ind w:left="1440" w:hanging="720"/>
        <w:rPr>
          <w:rFonts w:eastAsia="Times New Roman" w:cs="Times New Roman"/>
        </w:rPr>
      </w:pPr>
      <w:r>
        <w:rPr>
          <w:rFonts w:eastAsia="Times New Roman" w:cs="Times New Roman"/>
        </w:rPr>
        <w:t xml:space="preserve">4.2.3.a. </w:t>
      </w:r>
      <w:r w:rsidR="00445F2C" w:rsidRPr="006E0F9C">
        <w:rPr>
          <w:rFonts w:eastAsia="Times New Roman" w:cs="Times New Roman"/>
        </w:rPr>
        <w:t>Is the current standards and conformance infrastructure meeting your traceability needs?</w:t>
      </w:r>
    </w:p>
    <w:p w14:paraId="21D1F965" w14:textId="5AE066D1" w:rsidR="00445F2C" w:rsidRPr="006E0F9C" w:rsidRDefault="00F825A9" w:rsidP="006E0F9C">
      <w:pPr>
        <w:ind w:left="1440" w:hanging="720"/>
        <w:rPr>
          <w:rFonts w:eastAsia="Times New Roman" w:cs="Times New Roman"/>
          <w:szCs w:val="20"/>
        </w:rPr>
      </w:pPr>
      <w:r>
        <w:rPr>
          <w:szCs w:val="20"/>
        </w:rPr>
        <w:t xml:space="preserve">4.2.3.b. </w:t>
      </w:r>
      <w:r w:rsidR="00445F2C" w:rsidRPr="006E0F9C">
        <w:rPr>
          <w:rFonts w:eastAsia="Times New Roman" w:cs="Times New Roman"/>
          <w:szCs w:val="20"/>
        </w:rPr>
        <w:t xml:space="preserve">Are you or your customers concerned about security, authenticity and integrity </w:t>
      </w:r>
      <w:r w:rsidR="00445F2C" w:rsidRPr="006E0F9C">
        <w:rPr>
          <w:rFonts w:eastAsia="Times New Roman" w:cs="Times New Roman"/>
        </w:rPr>
        <w:t>of measurement results associated with new technologies and their source of traceability?</w:t>
      </w:r>
      <w:r w:rsidR="00445F2C" w:rsidRPr="006E0F9C">
        <w:rPr>
          <w:rFonts w:eastAsia="Times New Roman" w:cs="Times New Roman"/>
          <w:szCs w:val="20"/>
        </w:rPr>
        <w:t xml:space="preserve"> </w:t>
      </w:r>
    </w:p>
    <w:p w14:paraId="0F595C54" w14:textId="1B94F7BF" w:rsidR="00445F2C" w:rsidRPr="006E0F9C" w:rsidRDefault="00F825A9" w:rsidP="006E0F9C">
      <w:pPr>
        <w:ind w:left="1440" w:hanging="720"/>
        <w:rPr>
          <w:rFonts w:eastAsia="Times New Roman" w:cs="Times New Roman"/>
          <w:szCs w:val="20"/>
        </w:rPr>
      </w:pPr>
      <w:r>
        <w:t xml:space="preserve">4.2.3.c. </w:t>
      </w:r>
      <w:r w:rsidR="00445F2C" w:rsidRPr="006E0F9C">
        <w:rPr>
          <w:rFonts w:eastAsia="Times New Roman" w:cs="Times New Roman"/>
          <w:szCs w:val="20"/>
        </w:rPr>
        <w:t>How can confidence in measurements based on new and advanced technologies be supported by the measurement framework</w:t>
      </w:r>
      <w:r w:rsidR="00F97DA1" w:rsidRPr="00AD3FBB">
        <w:rPr>
          <w:vertAlign w:val="superscript"/>
        </w:rPr>
        <w:footnoteReference w:id="32"/>
      </w:r>
      <w:r w:rsidR="00445F2C" w:rsidRPr="006E0F9C">
        <w:rPr>
          <w:rFonts w:eastAsia="Times New Roman" w:cs="Times New Roman"/>
          <w:szCs w:val="20"/>
        </w:rPr>
        <w:t xml:space="preserve">? </w:t>
      </w:r>
    </w:p>
    <w:p w14:paraId="3D8622A7" w14:textId="0BFBAF06" w:rsidR="000E4C02" w:rsidRPr="006E0F9C" w:rsidRDefault="00F825A9" w:rsidP="006E0F9C">
      <w:pPr>
        <w:ind w:left="1440" w:hanging="720"/>
        <w:rPr>
          <w:rFonts w:eastAsia="Times New Roman" w:cs="Times New Roman"/>
          <w:szCs w:val="20"/>
        </w:rPr>
      </w:pPr>
      <w:r>
        <w:t xml:space="preserve">4.2.3.d. </w:t>
      </w:r>
      <w:r w:rsidR="000E4C02" w:rsidRPr="006E0F9C">
        <w:rPr>
          <w:rFonts w:eastAsia="Times New Roman" w:cs="Times New Roman"/>
          <w:szCs w:val="20"/>
        </w:rPr>
        <w:t>Have you encountered any barriers to adopting new technologies</w:t>
      </w:r>
      <w:r w:rsidR="00C62D09" w:rsidRPr="006E0F9C">
        <w:rPr>
          <w:rFonts w:eastAsia="Times New Roman" w:cs="Times New Roman"/>
          <w:szCs w:val="20"/>
        </w:rPr>
        <w:t xml:space="preserve"> arising from the current measurement law framework</w:t>
      </w:r>
      <w:r w:rsidR="000E4C02" w:rsidRPr="006E0F9C">
        <w:rPr>
          <w:rFonts w:eastAsia="Times New Roman" w:cs="Times New Roman"/>
          <w:szCs w:val="20"/>
        </w:rPr>
        <w:t>?</w:t>
      </w:r>
    </w:p>
    <w:p w14:paraId="5C6BB699" w14:textId="77777777" w:rsidR="00AD3FBB" w:rsidRPr="00AD3FBB" w:rsidRDefault="00AD3FBB" w:rsidP="00AD3FBB">
      <w:pPr>
        <w:ind w:left="1440"/>
        <w:contextualSpacing/>
        <w:rPr>
          <w:rFonts w:eastAsia="Times New Roman" w:cs="Times New Roman"/>
          <w:szCs w:val="20"/>
        </w:rPr>
      </w:pPr>
    </w:p>
    <w:p w14:paraId="24BA5C36" w14:textId="73E85E59" w:rsidR="005F6859" w:rsidRPr="004F6CB0" w:rsidRDefault="005F6859" w:rsidP="000546D6">
      <w:pPr>
        <w:pStyle w:val="Heading4"/>
        <w:numPr>
          <w:ilvl w:val="2"/>
          <w:numId w:val="16"/>
        </w:numPr>
        <w:ind w:left="709" w:hanging="709"/>
      </w:pPr>
      <w:r w:rsidRPr="004F6CB0">
        <w:t>Mechanisms of legal assurance for a</w:t>
      </w:r>
      <w:r>
        <w:t xml:space="preserve"> national</w:t>
      </w:r>
      <w:r w:rsidRPr="004F6CB0">
        <w:t xml:space="preserve"> measurement system</w:t>
      </w:r>
    </w:p>
    <w:p w14:paraId="6FD478D6" w14:textId="52805C00" w:rsidR="000468C8" w:rsidRDefault="000468C8" w:rsidP="000468C8">
      <w:pPr>
        <w:rPr>
          <w:color w:val="001A1A"/>
          <w:szCs w:val="20"/>
        </w:rPr>
      </w:pPr>
      <w:r>
        <w:rPr>
          <w:color w:val="001A1A"/>
          <w:szCs w:val="20"/>
        </w:rPr>
        <w:t>There is a reliance on verification or certification</w:t>
      </w:r>
      <w:r w:rsidR="00B21602">
        <w:rPr>
          <w:color w:val="001A1A"/>
          <w:szCs w:val="20"/>
        </w:rPr>
        <w:t>, delivered by third parties,</w:t>
      </w:r>
      <w:r>
        <w:rPr>
          <w:color w:val="001A1A"/>
          <w:szCs w:val="20"/>
        </w:rPr>
        <w:t xml:space="preserve"> for </w:t>
      </w:r>
      <w:r w:rsidR="00B21602">
        <w:rPr>
          <w:color w:val="001A1A"/>
          <w:szCs w:val="20"/>
        </w:rPr>
        <w:t xml:space="preserve">the </w:t>
      </w:r>
      <w:r>
        <w:rPr>
          <w:color w:val="001A1A"/>
          <w:szCs w:val="20"/>
        </w:rPr>
        <w:t xml:space="preserve">legal assurance </w:t>
      </w:r>
      <w:r w:rsidR="00B21602">
        <w:rPr>
          <w:color w:val="001A1A"/>
          <w:szCs w:val="20"/>
        </w:rPr>
        <w:t>of traceable measurement. These apply</w:t>
      </w:r>
      <w:r>
        <w:rPr>
          <w:color w:val="001A1A"/>
          <w:szCs w:val="20"/>
        </w:rPr>
        <w:t xml:space="preserve"> to instruments within the scope of the legislation. </w:t>
      </w:r>
    </w:p>
    <w:p w14:paraId="0858D1E7" w14:textId="37E5893D" w:rsidR="005F6859" w:rsidRDefault="005F6859" w:rsidP="00C32872">
      <w:pPr>
        <w:ind w:firstLine="720"/>
        <w:rPr>
          <w:color w:val="001A1A"/>
          <w:szCs w:val="20"/>
        </w:rPr>
      </w:pPr>
      <w:r w:rsidRPr="003552CC">
        <w:rPr>
          <w:color w:val="001A1A"/>
          <w:szCs w:val="20"/>
        </w:rPr>
        <w:t>Question</w:t>
      </w:r>
      <w:r>
        <w:rPr>
          <w:color w:val="001A1A"/>
          <w:szCs w:val="20"/>
        </w:rPr>
        <w:t>s</w:t>
      </w:r>
      <w:r w:rsidRPr="003552CC">
        <w:rPr>
          <w:color w:val="001A1A"/>
          <w:szCs w:val="20"/>
        </w:rPr>
        <w:t>:</w:t>
      </w:r>
      <w:r w:rsidRPr="004F6CB0">
        <w:rPr>
          <w:color w:val="001A1A"/>
          <w:szCs w:val="20"/>
        </w:rPr>
        <w:t xml:space="preserve"> </w:t>
      </w:r>
    </w:p>
    <w:p w14:paraId="1A36B89A" w14:textId="5A43C372" w:rsidR="002B03AB" w:rsidRDefault="00F825A9" w:rsidP="006E0F9C">
      <w:pPr>
        <w:autoSpaceDE w:val="0"/>
        <w:autoSpaceDN w:val="0"/>
        <w:ind w:left="1440" w:hanging="720"/>
      </w:pPr>
      <w:r>
        <w:t xml:space="preserve">4.2.4.a. </w:t>
      </w:r>
      <w:r w:rsidR="002B03AB">
        <w:t xml:space="preserve">Does verification or certification appropriately deliver on assuring traceability and confidence in measurement results for measurements used for trade and other legal purposes?  </w:t>
      </w:r>
    </w:p>
    <w:p w14:paraId="4054AD35" w14:textId="3E263172" w:rsidR="002B03AB" w:rsidRDefault="00F825A9" w:rsidP="006E0F9C">
      <w:pPr>
        <w:autoSpaceDE w:val="0"/>
        <w:autoSpaceDN w:val="0"/>
        <w:ind w:left="1440" w:hanging="720"/>
      </w:pPr>
      <w:r>
        <w:lastRenderedPageBreak/>
        <w:t xml:space="preserve">4.2.4.b. </w:t>
      </w:r>
      <w:r w:rsidR="002B03AB">
        <w:t>What other approaches or mechanisms could be used to assure traceability and provide confidence in measurement results?</w:t>
      </w:r>
    </w:p>
    <w:p w14:paraId="0B85AC1D" w14:textId="165070CE" w:rsidR="002B03AB" w:rsidRDefault="00F825A9" w:rsidP="006E0F9C">
      <w:pPr>
        <w:autoSpaceDE w:val="0"/>
        <w:autoSpaceDN w:val="0"/>
        <w:ind w:left="1440" w:hanging="720"/>
      </w:pPr>
      <w:r>
        <w:t xml:space="preserve">4.2.4.c. </w:t>
      </w:r>
      <w:r w:rsidR="002B03AB">
        <w:t>Does your industry face measurement traceability problems? If so, what is the impact of these problems?</w:t>
      </w:r>
    </w:p>
    <w:p w14:paraId="49B910B1" w14:textId="5A150832" w:rsidR="005F6859" w:rsidRPr="00C62D09" w:rsidRDefault="005F6859" w:rsidP="000546D6">
      <w:pPr>
        <w:pStyle w:val="Heading4"/>
        <w:numPr>
          <w:ilvl w:val="2"/>
          <w:numId w:val="16"/>
        </w:numPr>
        <w:ind w:left="709" w:hanging="709"/>
      </w:pPr>
      <w:r w:rsidRPr="00C62D09">
        <w:t xml:space="preserve">General </w:t>
      </w:r>
      <w:r w:rsidR="007A54AD">
        <w:t>m</w:t>
      </w:r>
      <w:r w:rsidRPr="00C62D09">
        <w:t>atters</w:t>
      </w:r>
    </w:p>
    <w:p w14:paraId="4FE133B4" w14:textId="3F3A173A" w:rsidR="005F6859" w:rsidRPr="0087791B" w:rsidRDefault="005F6859" w:rsidP="005F6859">
      <w:pPr>
        <w:ind w:left="720"/>
        <w:rPr>
          <w:rFonts w:asciiTheme="majorHAnsi" w:hAnsiTheme="majorHAnsi" w:cstheme="majorHAnsi"/>
          <w:szCs w:val="20"/>
        </w:rPr>
      </w:pPr>
      <w:r w:rsidRPr="0087791B">
        <w:rPr>
          <w:rFonts w:asciiTheme="majorHAnsi" w:hAnsiTheme="majorHAnsi" w:cstheme="majorHAnsi"/>
          <w:szCs w:val="20"/>
        </w:rPr>
        <w:t>Question</w:t>
      </w:r>
      <w:r w:rsidR="00656765">
        <w:rPr>
          <w:rFonts w:asciiTheme="majorHAnsi" w:hAnsiTheme="majorHAnsi" w:cstheme="majorHAnsi"/>
          <w:szCs w:val="20"/>
        </w:rPr>
        <w:t>s:</w:t>
      </w:r>
    </w:p>
    <w:p w14:paraId="29BC811A" w14:textId="54BC267B" w:rsidR="000B3ACD" w:rsidRDefault="00F825A9" w:rsidP="006E0F9C">
      <w:pPr>
        <w:pStyle w:val="ListParagraph"/>
        <w:ind w:left="1440" w:hanging="720"/>
        <w:rPr>
          <w:rFonts w:asciiTheme="majorHAnsi" w:hAnsiTheme="majorHAnsi" w:cstheme="majorHAnsi"/>
          <w:szCs w:val="20"/>
        </w:rPr>
      </w:pPr>
      <w:r>
        <w:t xml:space="preserve">4.2.5.a. </w:t>
      </w:r>
      <w:r w:rsidR="005F6859">
        <w:t xml:space="preserve">In what additional ways could the </w:t>
      </w:r>
      <w:r w:rsidR="000E4C02">
        <w:t xml:space="preserve">legislation </w:t>
      </w:r>
      <w:r w:rsidR="005F6859">
        <w:t xml:space="preserve">be amended to </w:t>
      </w:r>
      <w:r w:rsidR="005F6859" w:rsidRPr="00526EC2">
        <w:t xml:space="preserve">support and enable traceability relating to </w:t>
      </w:r>
      <w:r w:rsidR="005F6859">
        <w:t xml:space="preserve">physical </w:t>
      </w:r>
      <w:r w:rsidR="005F6859" w:rsidRPr="00526EC2">
        <w:t>quantities</w:t>
      </w:r>
      <w:r w:rsidR="005F6859">
        <w:t>?</w:t>
      </w:r>
    </w:p>
    <w:p w14:paraId="2FE2A237" w14:textId="511D3192" w:rsidR="000B3ACD" w:rsidRPr="00C45D6D" w:rsidRDefault="00F825A9" w:rsidP="006E0F9C">
      <w:pPr>
        <w:ind w:left="1440" w:hanging="720"/>
      </w:pPr>
      <w:r>
        <w:rPr>
          <w:rFonts w:asciiTheme="majorHAnsi" w:hAnsiTheme="majorHAnsi" w:cstheme="majorHAnsi"/>
          <w:szCs w:val="20"/>
        </w:rPr>
        <w:t xml:space="preserve">4.2.5.b. </w:t>
      </w:r>
      <w:r w:rsidR="005F6859" w:rsidRPr="006E0F9C">
        <w:rPr>
          <w:rFonts w:asciiTheme="majorHAnsi" w:hAnsiTheme="majorHAnsi" w:cstheme="majorHAnsi"/>
          <w:szCs w:val="20"/>
        </w:rPr>
        <w:t>What costs are incurred by your business as a result of the current requirements?</w:t>
      </w:r>
      <w:r w:rsidR="000B3ACD" w:rsidRPr="006E0F9C">
        <w:rPr>
          <w:rFonts w:asciiTheme="majorHAnsi" w:hAnsiTheme="majorHAnsi" w:cstheme="majorHAnsi"/>
          <w:szCs w:val="20"/>
        </w:rPr>
        <w:t xml:space="preserve"> </w:t>
      </w:r>
    </w:p>
    <w:p w14:paraId="23523892" w14:textId="680395AA" w:rsidR="00F825A9" w:rsidRDefault="00F825A9" w:rsidP="00DE7257">
      <w:pPr>
        <w:ind w:left="1440" w:hanging="720"/>
        <w:rPr>
          <w:rFonts w:asciiTheme="majorHAnsi" w:hAnsiTheme="majorHAnsi" w:cstheme="majorHAnsi"/>
          <w:szCs w:val="20"/>
        </w:rPr>
      </w:pPr>
      <w:r>
        <w:t xml:space="preserve">4.2.5.c. </w:t>
      </w:r>
      <w:r w:rsidR="005F6859" w:rsidRPr="006E0F9C">
        <w:rPr>
          <w:rFonts w:asciiTheme="majorHAnsi" w:hAnsiTheme="majorHAnsi" w:cstheme="majorHAnsi"/>
          <w:szCs w:val="20"/>
        </w:rPr>
        <w:t>How could current arrangements be made more efficient?</w:t>
      </w:r>
    </w:p>
    <w:p w14:paraId="65BF45A5" w14:textId="6C917C9D" w:rsidR="00080A85" w:rsidRDefault="00080A85" w:rsidP="006E0F9C"/>
    <w:p w14:paraId="705D1C73" w14:textId="77777777" w:rsidR="00F825A9" w:rsidRDefault="00F825A9" w:rsidP="006E0F9C">
      <w:pPr>
        <w:pStyle w:val="Heading1"/>
        <w:spacing w:after="240"/>
      </w:pPr>
      <w:bookmarkStart w:id="44" w:name="_Toc529897489"/>
      <w:bookmarkStart w:id="45" w:name="_Toc529897507"/>
      <w:bookmarkStart w:id="46" w:name="_Toc529897519"/>
      <w:bookmarkEnd w:id="44"/>
      <w:bookmarkEnd w:id="45"/>
      <w:bookmarkEnd w:id="46"/>
    </w:p>
    <w:p w14:paraId="4ACE3B74" w14:textId="77777777" w:rsidR="00F825A9" w:rsidRDefault="00F825A9" w:rsidP="006E0F9C">
      <w:pPr>
        <w:rPr>
          <w:rFonts w:asciiTheme="majorHAnsi" w:eastAsiaTheme="majorEastAsia" w:hAnsiTheme="majorHAnsi" w:cstheme="majorBidi"/>
          <w:color w:val="004059" w:themeColor="accent1" w:themeShade="BF"/>
          <w:sz w:val="48"/>
          <w:szCs w:val="28"/>
        </w:rPr>
      </w:pPr>
      <w:r>
        <w:br w:type="page"/>
      </w:r>
    </w:p>
    <w:p w14:paraId="61A86E4E" w14:textId="32D78DF3" w:rsidR="00FC53CA" w:rsidRPr="001238D9" w:rsidRDefault="00FC53CA" w:rsidP="0059566C">
      <w:pPr>
        <w:pStyle w:val="Heading1"/>
        <w:numPr>
          <w:ilvl w:val="0"/>
          <w:numId w:val="16"/>
        </w:numPr>
        <w:spacing w:after="240"/>
      </w:pPr>
      <w:bookmarkStart w:id="47" w:name="_Toc3468098"/>
      <w:r>
        <w:lastRenderedPageBreak/>
        <w:t>Traceable m</w:t>
      </w:r>
      <w:r w:rsidRPr="00B81F47">
        <w:t>easurement of chemical and</w:t>
      </w:r>
      <w:r w:rsidRPr="001238D9">
        <w:t xml:space="preserve"> biological quantities</w:t>
      </w:r>
      <w:bookmarkEnd w:id="47"/>
    </w:p>
    <w:p w14:paraId="159C9502" w14:textId="31F61954" w:rsidR="00FC53CA" w:rsidRDefault="007121E8" w:rsidP="00FC53CA">
      <w:r>
        <w:t>Amendments to the Act</w:t>
      </w:r>
      <w:r w:rsidR="00FC53CA">
        <w:t xml:space="preserve"> </w:t>
      </w:r>
      <w:r w:rsidR="008C1F9B">
        <w:t xml:space="preserve">in 2003 </w:t>
      </w:r>
      <w:r w:rsidR="00FC53CA">
        <w:t xml:space="preserve">brought chemical and biological measurement into the legislation and within the functions of NMI. The </w:t>
      </w:r>
      <w:r>
        <w:t xml:space="preserve">amendments </w:t>
      </w:r>
      <w:r w:rsidR="00FC53CA">
        <w:t>recognised the important role of chemical and biological measurement in the economy</w:t>
      </w:r>
      <w:r w:rsidR="00F97DA1">
        <w:rPr>
          <w:rStyle w:val="FootnoteReference"/>
          <w:i/>
        </w:rPr>
        <w:footnoteReference w:id="33"/>
      </w:r>
      <w:r w:rsidR="00FC53CA">
        <w:t>.</w:t>
      </w:r>
      <w:r w:rsidR="00FC53CA" w:rsidDel="00431F7B">
        <w:rPr>
          <w:i/>
        </w:rPr>
        <w:t xml:space="preserve"> </w:t>
      </w:r>
      <w:r w:rsidR="00FC53CA">
        <w:t>It included among the Australian Government’s metrological functions those that support and enable an approach to traceability relating to chemical and biological quantities</w:t>
      </w:r>
      <w:r w:rsidR="00F97DA1">
        <w:rPr>
          <w:rStyle w:val="FootnoteReference"/>
          <w:i/>
        </w:rPr>
        <w:footnoteReference w:id="34"/>
      </w:r>
      <w:r w:rsidR="00FC53CA">
        <w:t>.</w:t>
      </w:r>
    </w:p>
    <w:p w14:paraId="330D2C11" w14:textId="15E9BF87" w:rsidR="00FC53CA" w:rsidRPr="00574747" w:rsidRDefault="00FC53CA" w:rsidP="0059566C">
      <w:pPr>
        <w:pStyle w:val="Heading2"/>
        <w:numPr>
          <w:ilvl w:val="1"/>
          <w:numId w:val="16"/>
        </w:numPr>
        <w:ind w:hanging="792"/>
      </w:pPr>
      <w:bookmarkStart w:id="48" w:name="_Toc3468099"/>
      <w:r w:rsidRPr="00574747">
        <w:t>Current Approach</w:t>
      </w:r>
      <w:bookmarkEnd w:id="48"/>
    </w:p>
    <w:p w14:paraId="1B6066D0" w14:textId="3D076C9B" w:rsidR="00FC53CA" w:rsidRDefault="00FC53CA" w:rsidP="00FC53CA">
      <w:r>
        <w:t>Traceability to the SI units of the mole and kilogram are typically used to establish the quantity of a chemical or biological entity. It should be noted that traceable measurements in this area include not only the quantity but also other aspects such as the identity and activity of the chemical or biological substance.</w:t>
      </w:r>
    </w:p>
    <w:p w14:paraId="5C54FCD9" w14:textId="39AB5180" w:rsidR="00FC53CA" w:rsidRDefault="00FC53CA" w:rsidP="00FC53CA">
      <w:r>
        <w:t>A ‘certified reference material’ (CRM) is a widely</w:t>
      </w:r>
      <w:r w:rsidR="009D7B90">
        <w:t>-</w:t>
      </w:r>
      <w:r>
        <w:t>used generic term in the field of science</w:t>
      </w:r>
      <w:r w:rsidR="009D7B90">
        <w:t xml:space="preserve"> which </w:t>
      </w:r>
      <w:r>
        <w:t xml:space="preserve">also has </w:t>
      </w:r>
      <w:r w:rsidR="00E56506">
        <w:t xml:space="preserve">a </w:t>
      </w:r>
      <w:r>
        <w:t xml:space="preserve">particular meaning in jurisdictions outside Australia. CRMs are used </w:t>
      </w:r>
      <w:r w:rsidRPr="00C518EF">
        <w:t>for the calibration of instruments</w:t>
      </w:r>
      <w:r>
        <w:t xml:space="preserve"> and they are crucial to the traceability of chemical and biological measurements. They also have roles such as the validation of analytical methods.</w:t>
      </w:r>
    </w:p>
    <w:p w14:paraId="4374EF04" w14:textId="393E4747" w:rsidR="00FC53CA" w:rsidRDefault="00FC53CA" w:rsidP="00FC53CA">
      <w:r w:rsidRPr="0050730B">
        <w:rPr>
          <w:iCs/>
          <w:szCs w:val="20"/>
        </w:rPr>
        <w:t>CRMs have widespread usage</w:t>
      </w:r>
      <w:r>
        <w:rPr>
          <w:iCs/>
          <w:szCs w:val="20"/>
        </w:rPr>
        <w:t xml:space="preserve"> including </w:t>
      </w:r>
      <w:r w:rsidRPr="0050730B">
        <w:rPr>
          <w:iCs/>
          <w:szCs w:val="20"/>
        </w:rPr>
        <w:t xml:space="preserve">testing </w:t>
      </w:r>
      <w:r>
        <w:rPr>
          <w:iCs/>
          <w:szCs w:val="20"/>
        </w:rPr>
        <w:t xml:space="preserve">related to </w:t>
      </w:r>
      <w:r w:rsidRPr="0050730B">
        <w:rPr>
          <w:iCs/>
          <w:szCs w:val="20"/>
        </w:rPr>
        <w:t xml:space="preserve">enforcement programs, </w:t>
      </w:r>
      <w:r w:rsidR="00A84CC5">
        <w:rPr>
          <w:iCs/>
          <w:szCs w:val="20"/>
        </w:rPr>
        <w:t xml:space="preserve">for example </w:t>
      </w:r>
      <w:r>
        <w:rPr>
          <w:iCs/>
          <w:szCs w:val="20"/>
        </w:rPr>
        <w:t xml:space="preserve">illicit drug seizures or </w:t>
      </w:r>
      <w:r w:rsidRPr="0050730B">
        <w:rPr>
          <w:iCs/>
          <w:szCs w:val="20"/>
        </w:rPr>
        <w:t xml:space="preserve">imported food </w:t>
      </w:r>
      <w:r w:rsidRPr="003D71E5">
        <w:rPr>
          <w:iCs/>
          <w:szCs w:val="20"/>
        </w:rPr>
        <w:t>inspections</w:t>
      </w:r>
      <w:r w:rsidRPr="0050730B">
        <w:rPr>
          <w:iCs/>
          <w:szCs w:val="20"/>
        </w:rPr>
        <w:t>. State authorities and local government authorities also have enforcement programs and can bring legal action based on measurement results which are provided based on a CRM</w:t>
      </w:r>
      <w:r w:rsidR="00F97DA1">
        <w:rPr>
          <w:rStyle w:val="FootnoteReference"/>
          <w:szCs w:val="20"/>
        </w:rPr>
        <w:footnoteReference w:id="35"/>
      </w:r>
      <w:r>
        <w:rPr>
          <w:iCs/>
          <w:szCs w:val="20"/>
        </w:rPr>
        <w:t>.</w:t>
      </w:r>
    </w:p>
    <w:p w14:paraId="3265969B" w14:textId="155B34AB" w:rsidR="0059566C" w:rsidRPr="003D71E5" w:rsidRDefault="00FC53CA" w:rsidP="00FC53CA">
      <w:r>
        <w:t xml:space="preserve">An important aspect for consideration in the field of chemical and biological measurements is that nearly all CRMs </w:t>
      </w:r>
      <w:r w:rsidRPr="003D71E5">
        <w:t>currently used in Australia are not recognised under the Act.</w:t>
      </w:r>
    </w:p>
    <w:p w14:paraId="0C29C795" w14:textId="18B03586" w:rsidR="00FC53CA" w:rsidRPr="0059566C" w:rsidRDefault="00FC53CA" w:rsidP="000546D6">
      <w:pPr>
        <w:pStyle w:val="Heading4"/>
        <w:numPr>
          <w:ilvl w:val="2"/>
          <w:numId w:val="16"/>
        </w:numPr>
        <w:ind w:left="709" w:hanging="709"/>
      </w:pPr>
      <w:r w:rsidRPr="0059566C">
        <w:t>Australian Certified Reference Materials (ACRMs)</w:t>
      </w:r>
    </w:p>
    <w:p w14:paraId="39DA5CCC" w14:textId="77777777" w:rsidR="00FC53CA" w:rsidRDefault="00FC53CA" w:rsidP="00FC53CA">
      <w:r w:rsidRPr="003D71E5">
        <w:t>Under Australia’s measurement law, there is a distinction between:</w:t>
      </w:r>
    </w:p>
    <w:p w14:paraId="0926C465" w14:textId="010504DA" w:rsidR="00FC53CA" w:rsidRDefault="00FC53CA" w:rsidP="0059566C">
      <w:pPr>
        <w:pStyle w:val="ListParagraph"/>
        <w:numPr>
          <w:ilvl w:val="0"/>
          <w:numId w:val="11"/>
        </w:numPr>
      </w:pPr>
      <w:r>
        <w:t>reference materials which have been certified in accordance with the legislation, known as ACRMs, and which have a particular legal purpose under the Act</w:t>
      </w:r>
      <w:r w:rsidR="00FB03D8">
        <w:t>,</w:t>
      </w:r>
      <w:r>
        <w:t xml:space="preserve"> and</w:t>
      </w:r>
    </w:p>
    <w:p w14:paraId="2F4918B4" w14:textId="267697D1" w:rsidR="00FC53CA" w:rsidRDefault="00FC53CA" w:rsidP="0059566C">
      <w:pPr>
        <w:pStyle w:val="ListParagraph"/>
        <w:numPr>
          <w:ilvl w:val="0"/>
          <w:numId w:val="11"/>
        </w:numPr>
      </w:pPr>
      <w:r>
        <w:t xml:space="preserve">reference materials which have been certified </w:t>
      </w:r>
      <w:r w:rsidRPr="006D0AB8">
        <w:rPr>
          <w:u w:val="single"/>
        </w:rPr>
        <w:t>but not</w:t>
      </w:r>
      <w:r>
        <w:t xml:space="preserve"> in accordance with the legislation, and which have widespread usage for scientific a</w:t>
      </w:r>
      <w:r w:rsidR="003059FC">
        <w:t>nd other purposes – being CRMs.</w:t>
      </w:r>
    </w:p>
    <w:p w14:paraId="22458C35" w14:textId="3302EBDF" w:rsidR="00FC53CA" w:rsidRDefault="00FC53CA" w:rsidP="00FC53CA">
      <w:r>
        <w:t>ACRMs are produced and formally recognised under Regulation 48 of the Act where there is value in the CRM having special legal standing</w:t>
      </w:r>
      <w:r w:rsidR="00F97DA1">
        <w:rPr>
          <w:rStyle w:val="FootnoteReference"/>
        </w:rPr>
        <w:footnoteReference w:id="36"/>
      </w:r>
      <w:r>
        <w:t xml:space="preserve">. They are </w:t>
      </w:r>
      <w:r w:rsidRPr="003D71E5">
        <w:t>currently</w:t>
      </w:r>
      <w:r>
        <w:t xml:space="preserve"> only produced in a very small number of </w:t>
      </w:r>
      <w:r>
        <w:lastRenderedPageBreak/>
        <w:t>cases.</w:t>
      </w:r>
      <w:r w:rsidRPr="001217CA">
        <w:t xml:space="preserve"> </w:t>
      </w:r>
      <w:r>
        <w:t>In the event of a dispute or court proceeding, a Regulation 48 certificate provides confidence under the legislation.</w:t>
      </w:r>
    </w:p>
    <w:p w14:paraId="6120866C" w14:textId="228F32DD" w:rsidR="00FC53CA" w:rsidRDefault="00FC53CA" w:rsidP="00FC53CA">
      <w:r>
        <w:t>In addition to allowing NMI to develop ACRMs</w:t>
      </w:r>
      <w:r>
        <w:rPr>
          <w:rStyle w:val="FootnoteReference"/>
        </w:rPr>
        <w:footnoteReference w:id="37"/>
      </w:r>
      <w:r>
        <w:t>, t</w:t>
      </w:r>
      <w:r w:rsidRPr="00EB285D">
        <w:t xml:space="preserve">he </w:t>
      </w:r>
      <w:r>
        <w:t xml:space="preserve">measurement </w:t>
      </w:r>
      <w:r w:rsidRPr="00EB285D">
        <w:t xml:space="preserve">framework under the </w:t>
      </w:r>
      <w:r>
        <w:t xml:space="preserve">current legislation </w:t>
      </w:r>
      <w:r w:rsidRPr="00EB285D">
        <w:t xml:space="preserve">allows the Chief </w:t>
      </w:r>
      <w:proofErr w:type="spellStart"/>
      <w:r w:rsidRPr="00EB285D">
        <w:t>Metrologist</w:t>
      </w:r>
      <w:proofErr w:type="spellEnd"/>
      <w:r w:rsidRPr="00EB285D">
        <w:t xml:space="preserve"> to formally recognise foreign</w:t>
      </w:r>
      <w:r>
        <w:t xml:space="preserve"> certified</w:t>
      </w:r>
      <w:r w:rsidRPr="00EB285D">
        <w:t xml:space="preserve"> reference materials</w:t>
      </w:r>
      <w:r>
        <w:t xml:space="preserve"> as ACRMs</w:t>
      </w:r>
      <w:r w:rsidRPr="00EB285D">
        <w:rPr>
          <w:rStyle w:val="FootnoteReference"/>
        </w:rPr>
        <w:footnoteReference w:id="38"/>
      </w:r>
      <w:r>
        <w:t xml:space="preserve"> and issue a written notice giving them Australian legal status under Regulation 48. However,</w:t>
      </w:r>
      <w:r w:rsidRPr="00EB285D">
        <w:t xml:space="preserve"> this only occurs currently in a limited number of cases.</w:t>
      </w:r>
    </w:p>
    <w:p w14:paraId="37D1CDC7" w14:textId="1191BE1E" w:rsidR="00FC53CA" w:rsidRDefault="00FC53CA" w:rsidP="00FC53CA">
      <w:r>
        <w:t xml:space="preserve">The legislation also enables third parties to function as certifiers of ACRMs. A certifier of chemical and biological quantities must have </w:t>
      </w:r>
      <w:r w:rsidR="00E56506">
        <w:t xml:space="preserve">the </w:t>
      </w:r>
      <w:r>
        <w:t>technical competence to verify that declared values are sound, which can be evidenced by appropriate NATA accreditation. NATA accredits reference material producers under ISO 17034.</w:t>
      </w:r>
    </w:p>
    <w:p w14:paraId="06D01E64" w14:textId="77777777" w:rsidR="00FC53CA" w:rsidRDefault="00FC53CA" w:rsidP="00FC53CA">
      <w:pPr>
        <w:pStyle w:val="Casestudy"/>
      </w:pPr>
      <w:r w:rsidRPr="00EB285D">
        <w:rPr>
          <w:b/>
        </w:rPr>
        <w:t xml:space="preserve">Example of </w:t>
      </w:r>
      <w:r>
        <w:rPr>
          <w:b/>
        </w:rPr>
        <w:t xml:space="preserve">an </w:t>
      </w:r>
      <w:r w:rsidRPr="00EB285D">
        <w:rPr>
          <w:b/>
        </w:rPr>
        <w:t>ACRM in practice</w:t>
      </w:r>
      <w:r>
        <w:t xml:space="preserve">: </w:t>
      </w:r>
    </w:p>
    <w:p w14:paraId="792AA6A9" w14:textId="77777777" w:rsidR="00FC53CA" w:rsidRDefault="00FC53CA" w:rsidP="00FC53CA">
      <w:pPr>
        <w:pStyle w:val="Casestudy"/>
      </w:pPr>
      <w:r>
        <w:t xml:space="preserve">Enforcement of drink driving legislation relies on the effective calibration of Evidential Breath Analysers. Ethanol solution ACRMs are produced by NMI and these are issued with Regulation 48 Certificates under the Act to provide legal certainty as to the traceability of the reference values. </w:t>
      </w:r>
    </w:p>
    <w:p w14:paraId="38C86DA7" w14:textId="1F374065" w:rsidR="008743AE" w:rsidRDefault="00FC53CA" w:rsidP="00FC53CA">
      <w:r>
        <w:t xml:space="preserve">Confidence in traceable measurement of chemical and biological quantities is also supported by the broader standards and conformance infrastructure. The general NATA approach to the recognition of the traceability of CRMs is that they should come from a national metrology institute or be from an accredited CRM producer. </w:t>
      </w:r>
      <w:r w:rsidRPr="00EB285D">
        <w:t>Appropriate foreign CRMs are also recognised by NATA</w:t>
      </w:r>
      <w:r>
        <w:t xml:space="preserve"> in regard to the accreditation of laboratories compliant with ISO 17034;</w:t>
      </w:r>
      <w:r w:rsidRPr="00E55CBA">
        <w:t xml:space="preserve"> whereas</w:t>
      </w:r>
      <w:r w:rsidR="00E56506">
        <w:t>,</w:t>
      </w:r>
      <w:r w:rsidRPr="00E55CBA">
        <w:t xml:space="preserve"> under the Act</w:t>
      </w:r>
      <w:r>
        <w:t>,</w:t>
      </w:r>
      <w:r w:rsidRPr="00E55CBA">
        <w:t xml:space="preserve"> </w:t>
      </w:r>
      <w:r>
        <w:t xml:space="preserve">foreign CRMs </w:t>
      </w:r>
      <w:r w:rsidRPr="00E55CBA">
        <w:t xml:space="preserve">are </w:t>
      </w:r>
      <w:r w:rsidRPr="00EB285D">
        <w:t>not automatically recognised.</w:t>
      </w:r>
    </w:p>
    <w:p w14:paraId="74489468" w14:textId="1201B265" w:rsidR="00FC53CA" w:rsidRPr="00730A61" w:rsidRDefault="00FC53CA" w:rsidP="00FC53CA">
      <w:pPr>
        <w:rPr>
          <w:rFonts w:ascii="inherit" w:eastAsia="Times New Roman" w:hAnsi="inherit" w:cs="Arial"/>
          <w:color w:val="333333"/>
          <w:spacing w:val="-15"/>
          <w:kern w:val="36"/>
          <w:sz w:val="63"/>
          <w:szCs w:val="63"/>
          <w:lang w:val="en"/>
        </w:rPr>
      </w:pPr>
      <w:r w:rsidRPr="00730A61">
        <w:rPr>
          <w:rFonts w:eastAsia="Times New Roman" w:cs="Times New Roman"/>
        </w:rPr>
        <w:t xml:space="preserve">When there is no CRM available, NATA’s suggested framework is based on the approach provided by </w:t>
      </w:r>
      <w:r w:rsidRPr="00730A61">
        <w:rPr>
          <w:rFonts w:eastAsia="Times New Roman" w:cs="Times New Roman"/>
          <w:i/>
        </w:rPr>
        <w:t>ISO/IEC 17025: General requirements for the competence of testing and calibration laboratories</w:t>
      </w:r>
      <w:r w:rsidRPr="00730A61">
        <w:rPr>
          <w:rFonts w:eastAsia="Times New Roman" w:cs="Times New Roman"/>
        </w:rPr>
        <w:t xml:space="preserve"> with guidance provided in NATA’s General Accreditation Criteria (GAC)</w:t>
      </w:r>
      <w:r w:rsidRPr="00730A61">
        <w:rPr>
          <w:rFonts w:eastAsia="Times New Roman" w:cs="Times New Roman"/>
          <w:i/>
        </w:rPr>
        <w:t xml:space="preserve"> Metrological Traceability</w:t>
      </w:r>
      <w:r w:rsidRPr="00730A61">
        <w:rPr>
          <w:rFonts w:eastAsia="Times New Roman" w:cs="Times New Roman"/>
        </w:rPr>
        <w:t>. Under this framework, in the absence of a CRM, NATA allows for the use of other materials that are fit for purpose.</w:t>
      </w:r>
    </w:p>
    <w:p w14:paraId="1F725318" w14:textId="2839C539" w:rsidR="00FC53CA" w:rsidRPr="00574747" w:rsidRDefault="00365418" w:rsidP="0059566C">
      <w:pPr>
        <w:pStyle w:val="Heading2"/>
        <w:numPr>
          <w:ilvl w:val="1"/>
          <w:numId w:val="16"/>
        </w:numPr>
        <w:ind w:hanging="792"/>
      </w:pPr>
      <w:bookmarkStart w:id="49" w:name="_Toc3468100"/>
      <w:r w:rsidRPr="007A54AD">
        <w:t xml:space="preserve">Issues </w:t>
      </w:r>
      <w:r w:rsidR="00FC53CA" w:rsidRPr="00574747">
        <w:t>and questions</w:t>
      </w:r>
      <w:bookmarkEnd w:id="49"/>
    </w:p>
    <w:p w14:paraId="7FEA7630" w14:textId="65E95003" w:rsidR="00FC53CA" w:rsidRDefault="00FC53CA" w:rsidP="000546D6">
      <w:pPr>
        <w:pStyle w:val="Heading4"/>
        <w:numPr>
          <w:ilvl w:val="2"/>
          <w:numId w:val="16"/>
        </w:numPr>
        <w:ind w:left="709" w:hanging="646"/>
      </w:pPr>
      <w:r>
        <w:t xml:space="preserve">Certified Reference Materials (CRMs) and </w:t>
      </w:r>
      <w:r w:rsidRPr="00C51C26">
        <w:t xml:space="preserve">Australian </w:t>
      </w:r>
      <w:r w:rsidR="008743AE">
        <w:t>C</w:t>
      </w:r>
      <w:r w:rsidRPr="00C51C26">
        <w:t xml:space="preserve">ertified </w:t>
      </w:r>
      <w:r w:rsidR="008743AE">
        <w:t>R</w:t>
      </w:r>
      <w:r w:rsidRPr="00C51C26">
        <w:t xml:space="preserve">eference </w:t>
      </w:r>
      <w:r w:rsidR="008743AE">
        <w:t>M</w:t>
      </w:r>
      <w:r w:rsidRPr="00C51C26">
        <w:t>aterial</w:t>
      </w:r>
      <w:r>
        <w:t>s (ACRM)</w:t>
      </w:r>
    </w:p>
    <w:p w14:paraId="60C511A9" w14:textId="6B2830F3" w:rsidR="00FC53CA" w:rsidRDefault="00FC53CA" w:rsidP="00FC53CA">
      <w:pPr>
        <w:rPr>
          <w:szCs w:val="20"/>
        </w:rPr>
      </w:pPr>
      <w:r>
        <w:t>CRMs may be legally recognised under the legislation in order to become ACRMs</w:t>
      </w:r>
      <w:r w:rsidR="00F97DA1">
        <w:rPr>
          <w:rStyle w:val="FootnoteReference"/>
          <w:szCs w:val="20"/>
        </w:rPr>
        <w:footnoteReference w:id="39"/>
      </w:r>
      <w:r>
        <w:t>.</w:t>
      </w:r>
      <w:r>
        <w:rPr>
          <w:szCs w:val="20"/>
        </w:rPr>
        <w:t xml:space="preserve"> This enables the measurement of ACRMs to be defensible in Australian courts of law using a Regulation 48 certificate under the Act. Most users of CRMs are not aware of the terminology used in the Act or of the existence of ACRMs.</w:t>
      </w:r>
    </w:p>
    <w:p w14:paraId="034374E9" w14:textId="0BD7F7F2" w:rsidR="00FC53CA" w:rsidRDefault="00FC53CA" w:rsidP="00FC53CA">
      <w:pPr>
        <w:ind w:left="720"/>
        <w:rPr>
          <w:i/>
          <w:szCs w:val="20"/>
        </w:rPr>
      </w:pPr>
      <w:r w:rsidRPr="00022917">
        <w:rPr>
          <w:szCs w:val="20"/>
        </w:rPr>
        <w:t>Question</w:t>
      </w:r>
      <w:r>
        <w:rPr>
          <w:szCs w:val="20"/>
        </w:rPr>
        <w:t>s</w:t>
      </w:r>
      <w:r w:rsidRPr="00022917">
        <w:rPr>
          <w:szCs w:val="20"/>
        </w:rPr>
        <w:t>:</w:t>
      </w:r>
    </w:p>
    <w:p w14:paraId="4DE8D36E" w14:textId="77777777" w:rsidR="00FC53CA" w:rsidRPr="00C45D6D" w:rsidRDefault="00FC53CA" w:rsidP="0059566C">
      <w:pPr>
        <w:pStyle w:val="ListParagraph"/>
        <w:numPr>
          <w:ilvl w:val="0"/>
          <w:numId w:val="14"/>
        </w:numPr>
        <w:ind w:hanging="720"/>
        <w:rPr>
          <w:szCs w:val="20"/>
        </w:rPr>
      </w:pPr>
      <w:r w:rsidRPr="00C45D6D">
        <w:rPr>
          <w:szCs w:val="20"/>
        </w:rPr>
        <w:t xml:space="preserve">Does a CRM, </w:t>
      </w:r>
      <w:r>
        <w:t xml:space="preserve">which has been certified </w:t>
      </w:r>
      <w:r w:rsidRPr="00C45D6D">
        <w:rPr>
          <w:u w:val="single"/>
        </w:rPr>
        <w:t>but not</w:t>
      </w:r>
      <w:r>
        <w:t xml:space="preserve"> in accordance with the legislation,</w:t>
      </w:r>
      <w:r w:rsidRPr="00C45D6D">
        <w:rPr>
          <w:szCs w:val="20"/>
        </w:rPr>
        <w:t xml:space="preserve"> need to be included within the measurement framework? If so, when should it be recognised under the Act?</w:t>
      </w:r>
    </w:p>
    <w:p w14:paraId="7803F30F" w14:textId="08BD44C1" w:rsidR="00FC53CA" w:rsidRPr="006E0F9C" w:rsidRDefault="00FC53CA" w:rsidP="0059566C">
      <w:pPr>
        <w:pStyle w:val="ListParagraph"/>
        <w:numPr>
          <w:ilvl w:val="0"/>
          <w:numId w:val="14"/>
        </w:numPr>
        <w:ind w:hanging="720"/>
        <w:rPr>
          <w:szCs w:val="20"/>
        </w:rPr>
      </w:pPr>
      <w:r w:rsidRPr="00C45D6D">
        <w:rPr>
          <w:szCs w:val="20"/>
        </w:rPr>
        <w:t xml:space="preserve">What risks or benefits do you see in having ACRMs operate under the Act (and be </w:t>
      </w:r>
      <w:r w:rsidRPr="006E0F9C">
        <w:rPr>
          <w:szCs w:val="20"/>
        </w:rPr>
        <w:t xml:space="preserve">capable of being used for both scientific and legal purposes) </w:t>
      </w:r>
      <w:r w:rsidR="002B4353">
        <w:rPr>
          <w:szCs w:val="20"/>
        </w:rPr>
        <w:t>while</w:t>
      </w:r>
      <w:r w:rsidRPr="006E0F9C">
        <w:rPr>
          <w:szCs w:val="20"/>
        </w:rPr>
        <w:t xml:space="preserve"> </w:t>
      </w:r>
      <w:r w:rsidR="00F34C1E">
        <w:rPr>
          <w:szCs w:val="20"/>
        </w:rPr>
        <w:t xml:space="preserve">having </w:t>
      </w:r>
      <w:r w:rsidRPr="006E0F9C">
        <w:rPr>
          <w:szCs w:val="20"/>
        </w:rPr>
        <w:t>CRMs operate outside the Act?</w:t>
      </w:r>
    </w:p>
    <w:p w14:paraId="4A907DF6" w14:textId="60035550" w:rsidR="00FC53CA" w:rsidRDefault="00FC53CA" w:rsidP="0059566C">
      <w:pPr>
        <w:pStyle w:val="ListParagraph"/>
        <w:numPr>
          <w:ilvl w:val="0"/>
          <w:numId w:val="14"/>
        </w:numPr>
        <w:ind w:hanging="720"/>
      </w:pPr>
      <w:r>
        <w:lastRenderedPageBreak/>
        <w:t>Have you had any experience with deciding whether or not to seek certification of a reference material as an ACRM?  If so, what were the factors which influenced whether the decision made was to seek certification or not?</w:t>
      </w:r>
    </w:p>
    <w:p w14:paraId="243D156B" w14:textId="28CD0615" w:rsidR="00FC53CA" w:rsidRPr="00C45D6D" w:rsidRDefault="00FC53CA" w:rsidP="0059566C">
      <w:pPr>
        <w:pStyle w:val="ListParagraph"/>
        <w:numPr>
          <w:ilvl w:val="0"/>
          <w:numId w:val="14"/>
        </w:numPr>
        <w:ind w:hanging="720"/>
        <w:rPr>
          <w:szCs w:val="20"/>
        </w:rPr>
      </w:pPr>
      <w:r w:rsidRPr="00C45D6D">
        <w:rPr>
          <w:szCs w:val="20"/>
        </w:rPr>
        <w:t xml:space="preserve">Do you see value in changing the framework for ACRMs? If </w:t>
      </w:r>
      <w:proofErr w:type="spellStart"/>
      <w:r w:rsidRPr="00C45D6D">
        <w:rPr>
          <w:szCs w:val="20"/>
        </w:rPr>
        <w:t>s</w:t>
      </w:r>
      <w:r w:rsidR="00AB2911">
        <w:rPr>
          <w:szCs w:val="20"/>
        </w:rPr>
        <w:t>s</w:t>
      </w:r>
      <w:r w:rsidRPr="00C45D6D">
        <w:rPr>
          <w:szCs w:val="20"/>
        </w:rPr>
        <w:t>o</w:t>
      </w:r>
      <w:proofErr w:type="spellEnd"/>
      <w:r w:rsidRPr="00C45D6D">
        <w:rPr>
          <w:szCs w:val="20"/>
        </w:rPr>
        <w:t>, how and why?</w:t>
      </w:r>
    </w:p>
    <w:p w14:paraId="566B758C" w14:textId="77777777" w:rsidR="00FC53CA" w:rsidRPr="00C45D6D" w:rsidRDefault="00FC53CA" w:rsidP="0059566C">
      <w:pPr>
        <w:pStyle w:val="ListParagraph"/>
        <w:numPr>
          <w:ilvl w:val="0"/>
          <w:numId w:val="14"/>
        </w:numPr>
        <w:ind w:hanging="720"/>
        <w:rPr>
          <w:szCs w:val="20"/>
        </w:rPr>
      </w:pPr>
      <w:r w:rsidRPr="00C45D6D">
        <w:rPr>
          <w:szCs w:val="20"/>
        </w:rPr>
        <w:t>Should the Act’s recognition of CRMs more closely align with NATA’s approach? Why?</w:t>
      </w:r>
    </w:p>
    <w:p w14:paraId="7389673B" w14:textId="77777777" w:rsidR="00FC53CA" w:rsidRDefault="00FC53CA" w:rsidP="0059566C">
      <w:pPr>
        <w:pStyle w:val="ListParagraph"/>
        <w:numPr>
          <w:ilvl w:val="0"/>
          <w:numId w:val="14"/>
        </w:numPr>
        <w:ind w:hanging="720"/>
      </w:pPr>
      <w:r>
        <w:t>How efficient and effective would it be if Regulation 48 certificates under the Act more closely aligned with the ISO Guide 31:2015 ‘Reference Materials-contents of certificates, labels and accompanying documentation’?</w:t>
      </w:r>
    </w:p>
    <w:p w14:paraId="794A276F" w14:textId="1079066C" w:rsidR="00FC53CA" w:rsidRDefault="00FC53CA" w:rsidP="000546D6">
      <w:pPr>
        <w:pStyle w:val="Heading4"/>
        <w:numPr>
          <w:ilvl w:val="2"/>
          <w:numId w:val="16"/>
        </w:numPr>
        <w:ind w:left="709" w:hanging="709"/>
      </w:pPr>
      <w:r>
        <w:t>Mechanisms of legal assurance for chemical and biological measurement systems</w:t>
      </w:r>
    </w:p>
    <w:p w14:paraId="2CD7C7D5" w14:textId="14DC0A37" w:rsidR="00FC53CA" w:rsidRDefault="00FC53CA" w:rsidP="00FC53CA">
      <w:pPr>
        <w:rPr>
          <w:color w:val="1F497D"/>
        </w:rPr>
      </w:pPr>
      <w:r w:rsidRPr="0007542C">
        <w:rPr>
          <w:rFonts w:asciiTheme="majorHAnsi" w:hAnsiTheme="majorHAnsi" w:cstheme="majorHAnsi"/>
          <w:szCs w:val="20"/>
        </w:rPr>
        <w:t>Laboratory accreditation is a formal process for assuring that those laboratories are competent and able to perform to defined standards. The Act recognises accreditation by NATA as an option for recognising capabilities for the appointment of verifying and certifying authorities.</w:t>
      </w:r>
      <w:r>
        <w:rPr>
          <w:rFonts w:asciiTheme="majorHAnsi" w:hAnsiTheme="majorHAnsi" w:cstheme="majorHAnsi"/>
          <w:szCs w:val="20"/>
        </w:rPr>
        <w:t xml:space="preserve"> However, </w:t>
      </w:r>
      <w:r w:rsidRPr="004F6CB0">
        <w:rPr>
          <w:rFonts w:asciiTheme="majorHAnsi" w:hAnsiTheme="majorHAnsi" w:cstheme="majorHAnsi"/>
          <w:szCs w:val="20"/>
        </w:rPr>
        <w:t>cutting-edge chemical and biological measurement</w:t>
      </w:r>
      <w:r>
        <w:rPr>
          <w:rFonts w:asciiTheme="majorHAnsi" w:hAnsiTheme="majorHAnsi" w:cstheme="majorHAnsi"/>
          <w:szCs w:val="20"/>
        </w:rPr>
        <w:t>s</w:t>
      </w:r>
      <w:r w:rsidRPr="004F6CB0">
        <w:rPr>
          <w:rFonts w:asciiTheme="majorHAnsi" w:hAnsiTheme="majorHAnsi" w:cstheme="majorHAnsi"/>
          <w:szCs w:val="20"/>
        </w:rPr>
        <w:t xml:space="preserve"> </w:t>
      </w:r>
      <w:r>
        <w:rPr>
          <w:rFonts w:asciiTheme="majorHAnsi" w:hAnsiTheme="majorHAnsi" w:cstheme="majorHAnsi"/>
          <w:szCs w:val="20"/>
        </w:rPr>
        <w:t xml:space="preserve">often lack certified reference materials and </w:t>
      </w:r>
      <w:r w:rsidRPr="004F6CB0">
        <w:rPr>
          <w:rFonts w:asciiTheme="majorHAnsi" w:hAnsiTheme="majorHAnsi" w:cstheme="majorHAnsi"/>
          <w:szCs w:val="20"/>
        </w:rPr>
        <w:t xml:space="preserve">accreditation </w:t>
      </w:r>
      <w:r>
        <w:rPr>
          <w:rFonts w:asciiTheme="majorHAnsi" w:hAnsiTheme="majorHAnsi" w:cstheme="majorHAnsi"/>
          <w:szCs w:val="20"/>
        </w:rPr>
        <w:t>may not be available</w:t>
      </w:r>
      <w:r w:rsidRPr="004F6CB0">
        <w:rPr>
          <w:rFonts w:asciiTheme="majorHAnsi" w:hAnsiTheme="majorHAnsi" w:cstheme="majorHAnsi"/>
          <w:szCs w:val="20"/>
        </w:rPr>
        <w:t>.</w:t>
      </w:r>
    </w:p>
    <w:p w14:paraId="6D1A0F9E" w14:textId="77777777" w:rsidR="00FC53CA" w:rsidRDefault="00FC53CA" w:rsidP="00FC53CA">
      <w:pPr>
        <w:autoSpaceDE w:val="0"/>
        <w:autoSpaceDN w:val="0"/>
        <w:ind w:left="720"/>
        <w:rPr>
          <w:color w:val="001A1A"/>
          <w:szCs w:val="20"/>
        </w:rPr>
      </w:pPr>
      <w:r w:rsidRPr="00306351">
        <w:rPr>
          <w:color w:val="001A1A"/>
          <w:szCs w:val="20"/>
        </w:rPr>
        <w:t>Question</w:t>
      </w:r>
      <w:r>
        <w:rPr>
          <w:color w:val="001A1A"/>
          <w:szCs w:val="20"/>
        </w:rPr>
        <w:t>s</w:t>
      </w:r>
      <w:r w:rsidRPr="00306351">
        <w:rPr>
          <w:color w:val="001A1A"/>
          <w:szCs w:val="20"/>
        </w:rPr>
        <w:t xml:space="preserve">: </w:t>
      </w:r>
    </w:p>
    <w:p w14:paraId="1BD6070E" w14:textId="5AA53EA5" w:rsidR="00FC53CA" w:rsidRPr="00C45D6D" w:rsidRDefault="00FC53CA" w:rsidP="0059566C">
      <w:pPr>
        <w:pStyle w:val="ListParagraph"/>
        <w:numPr>
          <w:ilvl w:val="1"/>
          <w:numId w:val="15"/>
        </w:numPr>
        <w:autoSpaceDE w:val="0"/>
        <w:autoSpaceDN w:val="0"/>
        <w:ind w:hanging="720"/>
        <w:rPr>
          <w:color w:val="001A1A"/>
          <w:szCs w:val="20"/>
        </w:rPr>
      </w:pPr>
      <w:r>
        <w:t xml:space="preserve">In what ways could the Act be amended to </w:t>
      </w:r>
      <w:r w:rsidR="007A54AD">
        <w:t xml:space="preserve">enable and </w:t>
      </w:r>
      <w:r w:rsidRPr="00526EC2">
        <w:t>support traceability relating to chemical and biological quantities</w:t>
      </w:r>
      <w:r>
        <w:t>? What would the benefit be? What would the costs be?</w:t>
      </w:r>
    </w:p>
    <w:p w14:paraId="7CD951DD" w14:textId="77777777" w:rsidR="00FC53CA" w:rsidRPr="006E0F9C" w:rsidRDefault="00FC53CA" w:rsidP="0059566C">
      <w:pPr>
        <w:pStyle w:val="ListParagraph"/>
        <w:numPr>
          <w:ilvl w:val="1"/>
          <w:numId w:val="15"/>
        </w:numPr>
        <w:autoSpaceDE w:val="0"/>
        <w:autoSpaceDN w:val="0"/>
        <w:ind w:hanging="720"/>
        <w:rPr>
          <w:color w:val="001A1A"/>
          <w:szCs w:val="20"/>
        </w:rPr>
      </w:pPr>
      <w:r w:rsidRPr="006E0F9C">
        <w:rPr>
          <w:color w:val="001A1A"/>
          <w:szCs w:val="20"/>
        </w:rPr>
        <w:t>Should the legislation focus more strongly on providing legal assurance of the accuracy of the results of chemical and biological measurements through an accreditation-based framework?  If so, how and why?</w:t>
      </w:r>
    </w:p>
    <w:p w14:paraId="38268AD0" w14:textId="77777777" w:rsidR="00FC53CA" w:rsidRPr="006E0F9C" w:rsidRDefault="00FC53CA" w:rsidP="0059566C">
      <w:pPr>
        <w:pStyle w:val="ListParagraph"/>
        <w:numPr>
          <w:ilvl w:val="1"/>
          <w:numId w:val="15"/>
        </w:numPr>
        <w:autoSpaceDE w:val="0"/>
        <w:autoSpaceDN w:val="0"/>
        <w:ind w:hanging="720"/>
        <w:rPr>
          <w:color w:val="001A1A"/>
          <w:szCs w:val="20"/>
        </w:rPr>
      </w:pPr>
      <w:r w:rsidRPr="006E0F9C">
        <w:rPr>
          <w:color w:val="001A1A"/>
          <w:szCs w:val="20"/>
        </w:rPr>
        <w:t>In what circumstances does testing fall outside the framework of NATA accreditation processes?</w:t>
      </w:r>
    </w:p>
    <w:p w14:paraId="39A82D66" w14:textId="77777777" w:rsidR="00FC53CA" w:rsidRPr="006E0F9C" w:rsidRDefault="00FC53CA" w:rsidP="0059566C">
      <w:pPr>
        <w:pStyle w:val="ListParagraph"/>
        <w:numPr>
          <w:ilvl w:val="1"/>
          <w:numId w:val="15"/>
        </w:numPr>
        <w:autoSpaceDE w:val="0"/>
        <w:autoSpaceDN w:val="0"/>
        <w:ind w:hanging="720"/>
        <w:rPr>
          <w:color w:val="001A1A"/>
          <w:szCs w:val="20"/>
        </w:rPr>
      </w:pPr>
      <w:r w:rsidRPr="006E0F9C">
        <w:rPr>
          <w:color w:val="001A1A"/>
          <w:szCs w:val="20"/>
        </w:rPr>
        <w:t xml:space="preserve">How could the legislation deal with new areas where the underpinning accreditation framework is not yet settled? For example, scientific advancements in </w:t>
      </w:r>
      <w:r w:rsidRPr="00C45D6D">
        <w:rPr>
          <w:rFonts w:asciiTheme="majorHAnsi" w:hAnsiTheme="majorHAnsi" w:cstheme="majorHAnsi"/>
          <w:szCs w:val="20"/>
        </w:rPr>
        <w:t xml:space="preserve">chemical and biological measurements may take time for appropriate </w:t>
      </w:r>
      <w:r w:rsidRPr="006E0F9C">
        <w:rPr>
          <w:rFonts w:asciiTheme="majorHAnsi" w:hAnsiTheme="majorHAnsi" w:cstheme="majorHAnsi"/>
          <w:szCs w:val="20"/>
        </w:rPr>
        <w:t>reference materials and reference methods to be developed.</w:t>
      </w:r>
    </w:p>
    <w:p w14:paraId="03E261BF" w14:textId="4D2D8E47" w:rsidR="00FC53CA" w:rsidRPr="0050730B" w:rsidRDefault="00FC53CA" w:rsidP="000546D6">
      <w:pPr>
        <w:pStyle w:val="Heading4"/>
        <w:numPr>
          <w:ilvl w:val="2"/>
          <w:numId w:val="16"/>
        </w:numPr>
        <w:ind w:left="709" w:hanging="709"/>
      </w:pPr>
      <w:r w:rsidRPr="0050730B">
        <w:t xml:space="preserve">International </w:t>
      </w:r>
      <w:r>
        <w:t>c</w:t>
      </w:r>
      <w:r w:rsidRPr="0050730B">
        <w:t xml:space="preserve">ertified </w:t>
      </w:r>
      <w:r>
        <w:t>r</w:t>
      </w:r>
      <w:r w:rsidRPr="0050730B">
        <w:t xml:space="preserve">eference </w:t>
      </w:r>
      <w:r>
        <w:t>m</w:t>
      </w:r>
      <w:r w:rsidRPr="0050730B">
        <w:t>aterials</w:t>
      </w:r>
    </w:p>
    <w:p w14:paraId="1ECC9F00" w14:textId="278163BE" w:rsidR="00FC53CA" w:rsidRDefault="00FC53CA" w:rsidP="00FC53CA">
      <w:pPr>
        <w:rPr>
          <w:szCs w:val="20"/>
        </w:rPr>
      </w:pPr>
      <w:r w:rsidRPr="0050730B">
        <w:rPr>
          <w:szCs w:val="20"/>
        </w:rPr>
        <w:t>The appropriate CRM may not be available in Australia</w:t>
      </w:r>
      <w:r>
        <w:rPr>
          <w:szCs w:val="20"/>
        </w:rPr>
        <w:t>, for example,</w:t>
      </w:r>
      <w:r w:rsidRPr="0050730B">
        <w:rPr>
          <w:szCs w:val="20"/>
        </w:rPr>
        <w:t xml:space="preserve"> </w:t>
      </w:r>
      <w:r>
        <w:rPr>
          <w:szCs w:val="20"/>
        </w:rPr>
        <w:t xml:space="preserve">due </w:t>
      </w:r>
      <w:r w:rsidRPr="0050730B">
        <w:rPr>
          <w:szCs w:val="20"/>
        </w:rPr>
        <w:t xml:space="preserve">to bio-security hazard constraints. Although the Act only recognises ACRMs, these can include foreign CRMs that have been recognised by the Chief </w:t>
      </w:r>
      <w:proofErr w:type="spellStart"/>
      <w:r w:rsidRPr="0050730B">
        <w:rPr>
          <w:szCs w:val="20"/>
        </w:rPr>
        <w:t>Metrologist</w:t>
      </w:r>
      <w:proofErr w:type="spellEnd"/>
      <w:r w:rsidRPr="0050730B">
        <w:rPr>
          <w:szCs w:val="20"/>
        </w:rPr>
        <w:t xml:space="preserve"> as ACRMs</w:t>
      </w:r>
      <w:r>
        <w:rPr>
          <w:rStyle w:val="FootnoteReference"/>
          <w:szCs w:val="20"/>
        </w:rPr>
        <w:footnoteReference w:id="40"/>
      </w:r>
      <w:r w:rsidRPr="0050730B">
        <w:rPr>
          <w:szCs w:val="20"/>
        </w:rPr>
        <w:t>. The need for additional recognition under the Act of international CRMs may be interpreted as a burden or market barrier.</w:t>
      </w:r>
    </w:p>
    <w:p w14:paraId="2AFC88D6" w14:textId="29DC2C7E" w:rsidR="00FC53CA" w:rsidRPr="0050730B" w:rsidRDefault="00FC53CA" w:rsidP="00FC53CA">
      <w:pPr>
        <w:ind w:left="720"/>
        <w:rPr>
          <w:szCs w:val="20"/>
        </w:rPr>
      </w:pPr>
      <w:r w:rsidRPr="0050730B">
        <w:rPr>
          <w:szCs w:val="20"/>
        </w:rPr>
        <w:t>Question:</w:t>
      </w:r>
    </w:p>
    <w:p w14:paraId="351A384F" w14:textId="7EA3A7A6" w:rsidR="00FC53CA" w:rsidRPr="00BF3C6E" w:rsidRDefault="000B3ACD" w:rsidP="006E0F9C">
      <w:pPr>
        <w:pStyle w:val="ListParagraph"/>
        <w:ind w:left="1440" w:hanging="720"/>
        <w:rPr>
          <w:szCs w:val="20"/>
        </w:rPr>
      </w:pPr>
      <w:r>
        <w:rPr>
          <w:szCs w:val="20"/>
        </w:rPr>
        <w:t>5.2.3.a</w:t>
      </w:r>
      <w:r w:rsidR="00341AFC">
        <w:rPr>
          <w:szCs w:val="20"/>
        </w:rPr>
        <w:t>.</w:t>
      </w:r>
      <w:r>
        <w:rPr>
          <w:szCs w:val="20"/>
        </w:rPr>
        <w:t xml:space="preserve"> </w:t>
      </w:r>
      <w:r w:rsidR="00FC53CA">
        <w:rPr>
          <w:szCs w:val="20"/>
        </w:rPr>
        <w:t xml:space="preserve">Have you had any experience with deciding whether or not to seek </w:t>
      </w:r>
      <w:r w:rsidR="00FC53CA" w:rsidRPr="0050730B">
        <w:rPr>
          <w:szCs w:val="20"/>
        </w:rPr>
        <w:t xml:space="preserve">recognition of </w:t>
      </w:r>
      <w:r w:rsidR="00FC53CA">
        <w:rPr>
          <w:szCs w:val="20"/>
        </w:rPr>
        <w:t xml:space="preserve">an </w:t>
      </w:r>
      <w:r w:rsidR="00FC53CA" w:rsidRPr="0050730B">
        <w:rPr>
          <w:szCs w:val="20"/>
        </w:rPr>
        <w:t>overseas CRM</w:t>
      </w:r>
      <w:r w:rsidR="00FC53CA">
        <w:rPr>
          <w:szCs w:val="20"/>
        </w:rPr>
        <w:t xml:space="preserve"> under the Act</w:t>
      </w:r>
      <w:r w:rsidR="00FC53CA" w:rsidRPr="0050730B">
        <w:rPr>
          <w:szCs w:val="20"/>
        </w:rPr>
        <w:t xml:space="preserve">? </w:t>
      </w:r>
      <w:r w:rsidR="00FC53CA">
        <w:rPr>
          <w:szCs w:val="20"/>
        </w:rPr>
        <w:t>If so, what were the factors which influenced whether the decision made was to seek recognition or not?</w:t>
      </w:r>
    </w:p>
    <w:p w14:paraId="49EEFBE0" w14:textId="36BF3767" w:rsidR="00FC53CA" w:rsidRPr="009164BC" w:rsidRDefault="00FC53CA" w:rsidP="000546D6">
      <w:pPr>
        <w:pStyle w:val="Heading4"/>
        <w:numPr>
          <w:ilvl w:val="2"/>
          <w:numId w:val="16"/>
        </w:numPr>
        <w:ind w:left="709" w:hanging="709"/>
      </w:pPr>
      <w:r w:rsidRPr="009164BC">
        <w:t xml:space="preserve">General </w:t>
      </w:r>
      <w:r w:rsidR="007A54AD">
        <w:t>m</w:t>
      </w:r>
      <w:r w:rsidRPr="009164BC">
        <w:t>atters</w:t>
      </w:r>
    </w:p>
    <w:p w14:paraId="70419DA8" w14:textId="295DB2B5" w:rsidR="00FC53CA" w:rsidRPr="0050730B" w:rsidRDefault="00FC53CA" w:rsidP="00FC53CA">
      <w:pPr>
        <w:ind w:left="720"/>
        <w:rPr>
          <w:rFonts w:asciiTheme="majorHAnsi" w:hAnsiTheme="majorHAnsi" w:cstheme="majorHAnsi"/>
          <w:szCs w:val="20"/>
        </w:rPr>
      </w:pPr>
      <w:r w:rsidRPr="0050730B">
        <w:rPr>
          <w:rFonts w:asciiTheme="majorHAnsi" w:hAnsiTheme="majorHAnsi" w:cstheme="majorHAnsi"/>
          <w:szCs w:val="20"/>
        </w:rPr>
        <w:t>Question</w:t>
      </w:r>
      <w:r w:rsidR="00DE7257">
        <w:rPr>
          <w:rFonts w:asciiTheme="majorHAnsi" w:hAnsiTheme="majorHAnsi" w:cstheme="majorHAnsi"/>
          <w:szCs w:val="20"/>
        </w:rPr>
        <w:t>s:</w:t>
      </w:r>
    </w:p>
    <w:p w14:paraId="204A3BB5" w14:textId="77777777" w:rsidR="00FC53CA" w:rsidRPr="0050730B" w:rsidRDefault="00FC53CA" w:rsidP="0059566C">
      <w:pPr>
        <w:pStyle w:val="ListParagraph"/>
        <w:numPr>
          <w:ilvl w:val="1"/>
          <w:numId w:val="12"/>
        </w:numPr>
        <w:ind w:hanging="720"/>
        <w:rPr>
          <w:rFonts w:asciiTheme="majorHAnsi" w:hAnsiTheme="majorHAnsi" w:cstheme="majorHAnsi"/>
          <w:szCs w:val="20"/>
        </w:rPr>
      </w:pPr>
      <w:r w:rsidRPr="0050730B">
        <w:t>In what additional ways could the Act be amended to support and enable traceability relating to chemical and biological quantities?</w:t>
      </w:r>
    </w:p>
    <w:p w14:paraId="5AE14407" w14:textId="77777777" w:rsidR="00FC53CA" w:rsidRPr="0050730B" w:rsidRDefault="00FC53CA" w:rsidP="0059566C">
      <w:pPr>
        <w:pStyle w:val="ListParagraph"/>
        <w:numPr>
          <w:ilvl w:val="1"/>
          <w:numId w:val="12"/>
        </w:numPr>
        <w:ind w:hanging="720"/>
        <w:rPr>
          <w:rFonts w:asciiTheme="majorHAnsi" w:hAnsiTheme="majorHAnsi" w:cstheme="majorHAnsi"/>
          <w:szCs w:val="20"/>
        </w:rPr>
      </w:pPr>
      <w:r w:rsidRPr="0050730B">
        <w:rPr>
          <w:rFonts w:asciiTheme="majorHAnsi" w:hAnsiTheme="majorHAnsi" w:cstheme="majorHAnsi"/>
          <w:szCs w:val="20"/>
        </w:rPr>
        <w:t>What costs are incurred by your business as a result of the current</w:t>
      </w:r>
      <w:r>
        <w:rPr>
          <w:rFonts w:asciiTheme="majorHAnsi" w:hAnsiTheme="majorHAnsi" w:cstheme="majorHAnsi"/>
          <w:szCs w:val="20"/>
        </w:rPr>
        <w:t xml:space="preserve"> arrangements</w:t>
      </w:r>
      <w:r w:rsidRPr="0050730B">
        <w:rPr>
          <w:rFonts w:asciiTheme="majorHAnsi" w:hAnsiTheme="majorHAnsi" w:cstheme="majorHAnsi"/>
          <w:szCs w:val="20"/>
        </w:rPr>
        <w:t>?</w:t>
      </w:r>
    </w:p>
    <w:p w14:paraId="328B08B5" w14:textId="2DE19735" w:rsidR="00A755D4" w:rsidRPr="00E96F4A" w:rsidRDefault="00FC53CA" w:rsidP="0059566C">
      <w:pPr>
        <w:pStyle w:val="ListParagraph"/>
        <w:numPr>
          <w:ilvl w:val="1"/>
          <w:numId w:val="12"/>
        </w:numPr>
        <w:ind w:hanging="720"/>
        <w:rPr>
          <w:rStyle w:val="Hyperlink"/>
          <w:rFonts w:asciiTheme="majorHAnsi" w:hAnsiTheme="majorHAnsi" w:cstheme="majorHAnsi"/>
          <w:color w:val="auto"/>
          <w:szCs w:val="20"/>
          <w:u w:val="none"/>
        </w:rPr>
      </w:pPr>
      <w:r w:rsidRPr="0050730B">
        <w:rPr>
          <w:rFonts w:asciiTheme="majorHAnsi" w:hAnsiTheme="majorHAnsi" w:cstheme="majorHAnsi"/>
          <w:szCs w:val="20"/>
        </w:rPr>
        <w:t>How could current arrangements be made more efficient?</w:t>
      </w:r>
    </w:p>
    <w:sectPr w:rsidR="00A755D4" w:rsidRPr="00E96F4A" w:rsidSect="005573FB">
      <w:headerReference w:type="even" r:id="rId21"/>
      <w:headerReference w:type="default" r:id="rId22"/>
      <w:footerReference w:type="default" r:id="rId23"/>
      <w:headerReference w:type="first" r:id="rId24"/>
      <w:footerReference w:type="first" r:id="rId2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CA6FF" w14:textId="77777777" w:rsidR="00A64F3E" w:rsidRDefault="00A64F3E" w:rsidP="00B526AB">
      <w:pPr>
        <w:spacing w:after="0" w:line="240" w:lineRule="auto"/>
      </w:pPr>
      <w:r>
        <w:separator/>
      </w:r>
    </w:p>
  </w:endnote>
  <w:endnote w:type="continuationSeparator" w:id="0">
    <w:p w14:paraId="1E949907" w14:textId="77777777" w:rsidR="00A64F3E" w:rsidRDefault="00A64F3E" w:rsidP="00B526AB">
      <w:pPr>
        <w:spacing w:after="0" w:line="240" w:lineRule="auto"/>
      </w:pPr>
      <w:r>
        <w:continuationSeparator/>
      </w:r>
    </w:p>
  </w:endnote>
  <w:endnote w:type="continuationNotice" w:id="1">
    <w:p w14:paraId="5A413A90" w14:textId="77777777" w:rsidR="00A64F3E" w:rsidRDefault="00A64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otham Medium">
    <w:panose1 w:val="00000000000000000000"/>
    <w:charset w:val="00"/>
    <w:family w:val="auto"/>
    <w:notTrueType/>
    <w:pitch w:val="variable"/>
    <w:sig w:usb0="A100007F" w:usb1="4000005B" w:usb2="00000000" w:usb3="00000000" w:csb0="0000009B" w:csb1="00000000"/>
  </w:font>
  <w:font w:name="Gotham Narrow Medium">
    <w:altName w:val="Gotham Narrow Medium"/>
    <w:panose1 w:val="00000000000000000000"/>
    <w:charset w:val="00"/>
    <w:family w:val="auto"/>
    <w:notTrueType/>
    <w:pitch w:val="variable"/>
    <w:sig w:usb0="00000003" w:usb1="4000004A" w:usb2="00000000" w:usb3="00000000" w:csb0="0000009B" w:csb1="00000000"/>
  </w:font>
  <w:font w:name="Gotham Narrow Light">
    <w:altName w:val="Times New Roman"/>
    <w:panose1 w:val="00000000000000000000"/>
    <w:charset w:val="00"/>
    <w:family w:val="auto"/>
    <w:notTrueType/>
    <w:pitch w:val="variable"/>
    <w:sig w:usb0="00000001" w:usb1="4000004A" w:usb2="00000000" w:usb3="00000000" w:csb0="0000009B" w:csb1="00000000"/>
  </w:font>
  <w:font w:name="Calibri">
    <w:panose1 w:val="020F0502020204030204"/>
    <w:charset w:val="00"/>
    <w:family w:val="swiss"/>
    <w:pitch w:val="variable"/>
    <w:sig w:usb0="E0002AFF" w:usb1="C000247B" w:usb2="00000009" w:usb3="00000000" w:csb0="000001FF" w:csb1="00000000"/>
  </w:font>
  <w:font w:name="Gotham Bold">
    <w:altName w:val="Times New Roman"/>
    <w:panose1 w:val="00000000000000000000"/>
    <w:charset w:val="00"/>
    <w:family w:val="auto"/>
    <w:notTrueType/>
    <w:pitch w:val="variable"/>
    <w:sig w:usb0="00000001" w:usb1="4000005B" w:usb2="00000000" w:usb3="00000000" w:csb0="0000009B"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charset w:val="00"/>
    <w:family w:val="auto"/>
    <w:pitch w:val="default"/>
  </w:font>
  <w:font w:name="inheri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24E91" w14:textId="77777777" w:rsidR="00A64F3E" w:rsidRDefault="00A64F3E" w:rsidP="009151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4CF707" w14:textId="77777777" w:rsidR="00A64F3E" w:rsidRDefault="00A64F3E" w:rsidP="003165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FF724" w14:textId="77777777" w:rsidR="00A64F3E" w:rsidRDefault="00A64F3E" w:rsidP="009151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53FBB">
      <w:rPr>
        <w:rStyle w:val="PageNumber"/>
        <w:noProof/>
      </w:rPr>
      <w:t>8</w:t>
    </w:r>
    <w:r>
      <w:rPr>
        <w:rStyle w:val="PageNumber"/>
      </w:rPr>
      <w:fldChar w:fldCharType="end"/>
    </w:r>
  </w:p>
  <w:p w14:paraId="171C3151" w14:textId="4935F7EA" w:rsidR="00A64F3E" w:rsidRDefault="00A64F3E" w:rsidP="0031658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C8F682" w14:textId="77777777" w:rsidR="00A64F3E" w:rsidRDefault="00A64F3E" w:rsidP="0091514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9A5892F" w14:textId="77777777" w:rsidR="00A64F3E" w:rsidRDefault="00A64F3E" w:rsidP="0031658C">
    <w:pPr>
      <w:pStyle w:val="Footer"/>
      <w:tabs>
        <w:tab w:val="clear" w:pos="8640"/>
      </w:tabs>
      <w:ind w:right="379"/>
    </w:pPr>
    <w:r>
      <w:t>Document Title</w:t>
    </w:r>
    <w:r>
      <w:tab/>
      <w:t>industry.gov.au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BC377" w14:textId="77777777" w:rsidR="00A64F3E" w:rsidRDefault="00A64F3E" w:rsidP="00B526AB">
      <w:pPr>
        <w:spacing w:after="0" w:line="240" w:lineRule="auto"/>
      </w:pPr>
      <w:r>
        <w:separator/>
      </w:r>
    </w:p>
  </w:footnote>
  <w:footnote w:type="continuationSeparator" w:id="0">
    <w:p w14:paraId="129B49F4" w14:textId="77777777" w:rsidR="00A64F3E" w:rsidRDefault="00A64F3E" w:rsidP="00B526AB">
      <w:pPr>
        <w:spacing w:after="0" w:line="240" w:lineRule="auto"/>
      </w:pPr>
      <w:r>
        <w:continuationSeparator/>
      </w:r>
    </w:p>
  </w:footnote>
  <w:footnote w:type="continuationNotice" w:id="1">
    <w:p w14:paraId="0586E290" w14:textId="77777777" w:rsidR="00A64F3E" w:rsidRDefault="00A64F3E">
      <w:pPr>
        <w:spacing w:after="0" w:line="240" w:lineRule="auto"/>
      </w:pPr>
    </w:p>
  </w:footnote>
  <w:footnote w:id="2">
    <w:p w14:paraId="273FA0D8" w14:textId="77777777" w:rsidR="00F97DA1" w:rsidRPr="0003115F" w:rsidRDefault="00F97DA1" w:rsidP="00F97DA1">
      <w:pPr>
        <w:pStyle w:val="FootnoteText"/>
        <w:rPr>
          <w:rFonts w:asciiTheme="majorHAnsi" w:hAnsiTheme="majorHAnsi" w:cstheme="majorHAnsi"/>
        </w:rPr>
      </w:pPr>
      <w:r w:rsidRPr="0003115F">
        <w:rPr>
          <w:rStyle w:val="FootnoteReference"/>
          <w:rFonts w:asciiTheme="majorHAnsi" w:hAnsiTheme="majorHAnsi" w:cstheme="majorHAnsi"/>
        </w:rPr>
        <w:footnoteRef/>
      </w:r>
      <w:r w:rsidRPr="0003115F">
        <w:rPr>
          <w:rFonts w:asciiTheme="majorHAnsi" w:hAnsiTheme="majorHAnsi" w:cstheme="majorHAnsi"/>
        </w:rPr>
        <w:t xml:space="preserve"> </w:t>
      </w:r>
      <w:r w:rsidRPr="00313D57">
        <w:rPr>
          <w:rStyle w:val="Hyperlink"/>
          <w:i/>
        </w:rPr>
        <w:t xml:space="preserve">JCGM 200:2012: </w:t>
      </w:r>
      <w:hyperlink r:id="rId1" w:history="1">
        <w:r w:rsidRPr="00313D57">
          <w:rPr>
            <w:rStyle w:val="Hyperlink"/>
            <w:i/>
          </w:rPr>
          <w:t>International vocabulary of metrology – Basic and general concepts and associated terms (VIM) 3rd edition 2008 version with minor corrections</w:t>
        </w:r>
      </w:hyperlink>
      <w:r>
        <w:rPr>
          <w:rFonts w:asciiTheme="majorHAnsi" w:hAnsiTheme="majorHAnsi" w:cstheme="majorHAnsi"/>
          <w:i/>
        </w:rPr>
        <w:t xml:space="preserve">, </w:t>
      </w:r>
      <w:r>
        <w:rPr>
          <w:rFonts w:asciiTheme="majorHAnsi" w:hAnsiTheme="majorHAnsi" w:cstheme="majorHAnsi"/>
        </w:rPr>
        <w:t xml:space="preserve">at </w:t>
      </w:r>
      <w:r w:rsidRPr="0003115F">
        <w:rPr>
          <w:rFonts w:asciiTheme="majorHAnsi" w:hAnsiTheme="majorHAnsi" w:cstheme="majorHAnsi"/>
        </w:rPr>
        <w:t xml:space="preserve">2.41 (6.10) </w:t>
      </w:r>
      <w:r>
        <w:rPr>
          <w:rFonts w:asciiTheme="majorHAnsi" w:hAnsiTheme="majorHAnsi" w:cstheme="majorHAnsi"/>
        </w:rPr>
        <w:t xml:space="preserve">including </w:t>
      </w:r>
      <w:r w:rsidRPr="0003115F">
        <w:rPr>
          <w:rFonts w:asciiTheme="majorHAnsi" w:hAnsiTheme="majorHAnsi" w:cstheme="majorHAnsi"/>
        </w:rPr>
        <w:t>Notes 1-8</w:t>
      </w:r>
      <w:r>
        <w:rPr>
          <w:rFonts w:asciiTheme="majorHAnsi" w:hAnsiTheme="majorHAnsi" w:cstheme="majorHAnsi"/>
        </w:rPr>
        <w:t>.</w:t>
      </w:r>
    </w:p>
  </w:footnote>
  <w:footnote w:id="3">
    <w:p w14:paraId="26671E39" w14:textId="77777777" w:rsidR="00F97DA1" w:rsidRPr="00313D57" w:rsidRDefault="00F97DA1" w:rsidP="00F97DA1">
      <w:pPr>
        <w:pStyle w:val="FootnoteText"/>
        <w:rPr>
          <w:lang w:val="en-US"/>
        </w:rPr>
      </w:pPr>
      <w:r>
        <w:rPr>
          <w:rStyle w:val="FootnoteReference"/>
        </w:rPr>
        <w:footnoteRef/>
      </w:r>
      <w:r>
        <w:t xml:space="preserve"> </w:t>
      </w:r>
      <w:r>
        <w:rPr>
          <w:lang w:val="en-US"/>
        </w:rPr>
        <w:t>Section 18 of the Act.</w:t>
      </w:r>
    </w:p>
  </w:footnote>
  <w:footnote w:id="4">
    <w:p w14:paraId="41004201" w14:textId="59F16C1E" w:rsidR="00A64F3E" w:rsidRDefault="00A64F3E" w:rsidP="007902CE">
      <w:pPr>
        <w:pStyle w:val="FootnoteText"/>
      </w:pPr>
      <w:r>
        <w:rPr>
          <w:rStyle w:val="FootnoteReference"/>
        </w:rPr>
        <w:footnoteRef/>
      </w:r>
      <w:r>
        <w:t xml:space="preserve"> </w:t>
      </w:r>
      <w:r>
        <w:rPr>
          <w:lang w:val="en-US"/>
        </w:rPr>
        <w:t xml:space="preserve">As of November 2018, the </w:t>
      </w:r>
      <w:proofErr w:type="spellStart"/>
      <w:r>
        <w:rPr>
          <w:lang w:val="en-US"/>
        </w:rPr>
        <w:t>Metre</w:t>
      </w:r>
      <w:proofErr w:type="spellEnd"/>
      <w:r>
        <w:rPr>
          <w:lang w:val="en-US"/>
        </w:rPr>
        <w:t xml:space="preserve"> Convention included 59 member states and 42 associate states and economies. See </w:t>
      </w:r>
      <w:hyperlink r:id="rId2" w:tooltip="BIPM website link" w:history="1">
        <w:r w:rsidRPr="00F85900">
          <w:rPr>
            <w:rStyle w:val="Hyperlink"/>
            <w:lang w:val="en-US"/>
          </w:rPr>
          <w:t>https://www.bipm.org/en/about-us/member-states/</w:t>
        </w:r>
      </w:hyperlink>
      <w:r>
        <w:rPr>
          <w:lang w:val="en-US"/>
        </w:rPr>
        <w:t xml:space="preserve"> </w:t>
      </w:r>
    </w:p>
  </w:footnote>
  <w:footnote w:id="5">
    <w:p w14:paraId="41F0FB54" w14:textId="51BE31C8" w:rsidR="00A64F3E" w:rsidRDefault="00A64F3E" w:rsidP="007902CE">
      <w:pPr>
        <w:pStyle w:val="FootnoteText"/>
      </w:pPr>
      <w:r>
        <w:rPr>
          <w:rStyle w:val="FootnoteReference"/>
        </w:rPr>
        <w:footnoteRef/>
      </w:r>
      <w:r>
        <w:t xml:space="preserve"> For information on the SI, see </w:t>
      </w:r>
      <w:hyperlink r:id="rId3" w:tooltip="BIPM website link" w:history="1">
        <w:r w:rsidRPr="005D1149">
          <w:rPr>
            <w:rStyle w:val="Hyperlink"/>
          </w:rPr>
          <w:t>https://www.bipm.org/en/measurement-units/</w:t>
        </w:r>
      </w:hyperlink>
      <w:r>
        <w:t xml:space="preserve"> </w:t>
      </w:r>
    </w:p>
  </w:footnote>
  <w:footnote w:id="6">
    <w:p w14:paraId="2BF60526" w14:textId="0AE31293" w:rsidR="00A64F3E" w:rsidRPr="00A6708B" w:rsidRDefault="00A64F3E" w:rsidP="0050730B">
      <w:pPr>
        <w:autoSpaceDE w:val="0"/>
        <w:autoSpaceDN w:val="0"/>
        <w:spacing w:after="0" w:line="240" w:lineRule="auto"/>
        <w:rPr>
          <w:rFonts w:cstheme="minorHAnsi"/>
          <w:sz w:val="16"/>
        </w:rPr>
      </w:pPr>
      <w:r>
        <w:rPr>
          <w:rStyle w:val="FootnoteReference"/>
        </w:rPr>
        <w:footnoteRef/>
      </w:r>
      <w:r>
        <w:t xml:space="preserve"> </w:t>
      </w:r>
      <w:r w:rsidRPr="0050730B">
        <w:rPr>
          <w:sz w:val="16"/>
        </w:rPr>
        <w:t xml:space="preserve">Glenda </w:t>
      </w:r>
      <w:proofErr w:type="spellStart"/>
      <w:r w:rsidRPr="0050730B">
        <w:rPr>
          <w:sz w:val="16"/>
        </w:rPr>
        <w:t>Sand</w:t>
      </w:r>
      <w:r>
        <w:rPr>
          <w:sz w:val="16"/>
        </w:rPr>
        <w:t>a</w:t>
      </w:r>
      <w:r w:rsidRPr="0050730B">
        <w:rPr>
          <w:sz w:val="16"/>
        </w:rPr>
        <w:t>rs</w:t>
      </w:r>
      <w:proofErr w:type="spellEnd"/>
      <w:r w:rsidRPr="0050730B">
        <w:rPr>
          <w:sz w:val="16"/>
        </w:rPr>
        <w:t xml:space="preserve">, Traceable Measurements, Monograph 3: NMI Technology Transfer Series, </w:t>
      </w:r>
      <w:r>
        <w:rPr>
          <w:sz w:val="16"/>
        </w:rPr>
        <w:t xml:space="preserve">NMI, </w:t>
      </w:r>
      <w:r w:rsidRPr="0050730B">
        <w:rPr>
          <w:sz w:val="16"/>
        </w:rPr>
        <w:t>4</w:t>
      </w:r>
      <w:r w:rsidRPr="0050730B">
        <w:rPr>
          <w:sz w:val="16"/>
          <w:vertAlign w:val="superscript"/>
        </w:rPr>
        <w:t>th</w:t>
      </w:r>
      <w:r w:rsidRPr="0050730B">
        <w:rPr>
          <w:sz w:val="16"/>
        </w:rPr>
        <w:t xml:space="preserve"> edition, Nov 2005: </w:t>
      </w:r>
      <w:r w:rsidRPr="00E411D2">
        <w:rPr>
          <w:rFonts w:cstheme="minorHAnsi"/>
          <w:sz w:val="16"/>
        </w:rPr>
        <w:t>“</w:t>
      </w:r>
      <w:r w:rsidRPr="00574747">
        <w:rPr>
          <w:rFonts w:cstheme="minorHAnsi"/>
          <w:sz w:val="16"/>
        </w:rPr>
        <w:t xml:space="preserve">SI units are of little use unless they can be represented by physical standards. This process is often referred to as </w:t>
      </w:r>
      <w:r w:rsidRPr="00574747">
        <w:rPr>
          <w:rFonts w:cstheme="minorHAnsi"/>
          <w:iCs/>
          <w:sz w:val="16"/>
        </w:rPr>
        <w:t xml:space="preserve">realising </w:t>
      </w:r>
      <w:r w:rsidRPr="00574747">
        <w:rPr>
          <w:rFonts w:cstheme="minorHAnsi"/>
          <w:sz w:val="16"/>
        </w:rPr>
        <w:t>(literally, making real) the units. It is a demanding task to produce a definitive standard for each unit, and the process may involve many years of research, usually undertaken by national metrology institutes around the world</w:t>
      </w:r>
      <w:r w:rsidRPr="00C06F48">
        <w:rPr>
          <w:rFonts w:cstheme="minorHAnsi"/>
          <w:sz w:val="16"/>
        </w:rPr>
        <w:t>.</w:t>
      </w:r>
      <w:r>
        <w:rPr>
          <w:rFonts w:cstheme="minorHAnsi"/>
          <w:sz w:val="16"/>
        </w:rPr>
        <w:t>”</w:t>
      </w:r>
    </w:p>
    <w:p w14:paraId="183056E1" w14:textId="77777777" w:rsidR="00A64F3E" w:rsidRDefault="00A64F3E" w:rsidP="00251A70">
      <w:pPr>
        <w:rPr>
          <w:rFonts w:ascii="TimesNewRomanPSMT" w:hAnsi="TimesNewRomanPSMT"/>
        </w:rPr>
      </w:pPr>
    </w:p>
    <w:p w14:paraId="1181A193" w14:textId="77777777" w:rsidR="00A64F3E" w:rsidRDefault="00A64F3E">
      <w:pPr>
        <w:pStyle w:val="FootnoteText"/>
      </w:pPr>
    </w:p>
  </w:footnote>
  <w:footnote w:id="7">
    <w:p w14:paraId="69E48F51" w14:textId="6FEF78B8" w:rsidR="00A64F3E" w:rsidRPr="00534C67" w:rsidRDefault="00A64F3E" w:rsidP="00A77148">
      <w:pPr>
        <w:pStyle w:val="FootnoteText"/>
        <w:rPr>
          <w:lang w:val="en-US"/>
        </w:rPr>
      </w:pPr>
      <w:r>
        <w:rPr>
          <w:rStyle w:val="FootnoteReference"/>
        </w:rPr>
        <w:footnoteRef/>
      </w:r>
      <w:r>
        <w:t xml:space="preserve"> </w:t>
      </w:r>
      <w:r>
        <w:rPr>
          <w:lang w:val="en-US"/>
        </w:rPr>
        <w:t xml:space="preserve">Jan Todd, 2004, </w:t>
      </w:r>
      <w:r w:rsidRPr="00313D57">
        <w:rPr>
          <w:i/>
          <w:lang w:val="en-US"/>
        </w:rPr>
        <w:t>For Good Measure</w:t>
      </w:r>
      <w:r>
        <w:rPr>
          <w:lang w:val="en-US"/>
        </w:rPr>
        <w:t xml:space="preserve">, page 176. Australia previously had five measurement systems with a total of 29 basic units of measurement. These measurement systems included: avoirdupois; troy; apothecaries; metric; and metric carat.  There are now 7 units of basic measurement, as provided in Part 1 of Schedule 1 of the </w:t>
      </w:r>
      <w:r w:rsidRPr="00313D57">
        <w:rPr>
          <w:lang w:val="en-US"/>
        </w:rPr>
        <w:t>NMR</w:t>
      </w:r>
      <w:r w:rsidRPr="00313D57">
        <w:rPr>
          <w:i/>
          <w:lang w:val="en-US"/>
        </w:rPr>
        <w:t>.</w:t>
      </w:r>
    </w:p>
  </w:footnote>
  <w:footnote w:id="8">
    <w:p w14:paraId="14DBF59D" w14:textId="77777777" w:rsidR="00A64F3E" w:rsidRDefault="00A64F3E" w:rsidP="000A41A9">
      <w:pPr>
        <w:pStyle w:val="FootnoteText"/>
      </w:pPr>
      <w:r>
        <w:rPr>
          <w:rStyle w:val="FootnoteReference"/>
        </w:rPr>
        <w:footnoteRef/>
      </w:r>
      <w:r>
        <w:t xml:space="preserve"> Second Reading Speech, National Measurement Amendment Bill 2003, 3 December 2003. Second Reading Speech, National Measurement Amendment Bill 2008, 24 September 2008.</w:t>
      </w:r>
    </w:p>
  </w:footnote>
  <w:footnote w:id="9">
    <w:p w14:paraId="3D576ACC" w14:textId="77777777" w:rsidR="00A64F3E" w:rsidRDefault="00A64F3E" w:rsidP="00C06F48">
      <w:pPr>
        <w:pStyle w:val="FootnoteText"/>
      </w:pPr>
      <w:r>
        <w:rPr>
          <w:rStyle w:val="FootnoteReference"/>
        </w:rPr>
        <w:footnoteRef/>
      </w:r>
      <w:r>
        <w:t xml:space="preserve"> </w:t>
      </w:r>
      <w:r>
        <w:rPr>
          <w:rFonts w:cs="Arial"/>
        </w:rPr>
        <w:t xml:space="preserve">Issues in regard to enforcement and non-compliance with measurement laws will be dealt with in the </w:t>
      </w:r>
      <w:r w:rsidRPr="00534C67">
        <w:rPr>
          <w:rFonts w:cs="Arial"/>
          <w:i/>
        </w:rPr>
        <w:t>Compliance Arrangements</w:t>
      </w:r>
      <w:r>
        <w:rPr>
          <w:rFonts w:cs="Arial"/>
        </w:rPr>
        <w:t xml:space="preserve"> discussion paper, which wi</w:t>
      </w:r>
      <w:r>
        <w:t>ll be released on the Review’s website at a later time in 2019.</w:t>
      </w:r>
    </w:p>
  </w:footnote>
  <w:footnote w:id="10">
    <w:p w14:paraId="7225148D" w14:textId="7E0D9B08" w:rsidR="00F97DA1" w:rsidRDefault="00F97DA1" w:rsidP="00F97DA1">
      <w:pPr>
        <w:pStyle w:val="FootnoteText"/>
      </w:pPr>
      <w:r>
        <w:rPr>
          <w:rStyle w:val="FootnoteReference"/>
        </w:rPr>
        <w:footnoteRef/>
      </w:r>
      <w:r>
        <w:t xml:space="preserve"> </w:t>
      </w:r>
      <w:r>
        <w:rPr>
          <w:rFonts w:cs="Arial"/>
        </w:rPr>
        <w:t xml:space="preserve">Paragraph </w:t>
      </w:r>
      <w:r w:rsidR="0055506C">
        <w:rPr>
          <w:rFonts w:cs="Arial"/>
        </w:rPr>
        <w:t>19A</w:t>
      </w:r>
      <w:r>
        <w:rPr>
          <w:rFonts w:cs="Arial"/>
        </w:rPr>
        <w:t>(1)(b)(ii) of the Act provides that</w:t>
      </w:r>
      <w:r w:rsidRPr="004F6CB0">
        <w:rPr>
          <w:i/>
        </w:rPr>
        <w:t xml:space="preserve"> </w:t>
      </w:r>
      <w:r>
        <w:rPr>
          <w:i/>
        </w:rPr>
        <w:t>‘[t]</w:t>
      </w:r>
      <w:r w:rsidRPr="004F6CB0">
        <w:rPr>
          <w:i/>
        </w:rPr>
        <w:t>he regulations may make provision for or in relation to (b) the approval and verification of patterns of measuring instruments as patterns of measuring instruments suitable for: (</w:t>
      </w:r>
      <w:proofErr w:type="spellStart"/>
      <w:r w:rsidRPr="004F6CB0">
        <w:rPr>
          <w:i/>
        </w:rPr>
        <w:t>i</w:t>
      </w:r>
      <w:proofErr w:type="spellEnd"/>
      <w:r w:rsidRPr="004F6CB0">
        <w:rPr>
          <w:i/>
        </w:rPr>
        <w:t>) use for trade and (ii) any other legal purpose</w:t>
      </w:r>
      <w:r>
        <w:rPr>
          <w:i/>
        </w:rPr>
        <w:t>’.</w:t>
      </w:r>
    </w:p>
  </w:footnote>
  <w:footnote w:id="11">
    <w:p w14:paraId="1700F15C" w14:textId="5189477B" w:rsidR="00A64F3E" w:rsidRDefault="00A64F3E">
      <w:pPr>
        <w:pStyle w:val="FootnoteText"/>
      </w:pPr>
      <w:r>
        <w:rPr>
          <w:rStyle w:val="FootnoteReference"/>
        </w:rPr>
        <w:footnoteRef/>
      </w:r>
      <w:r>
        <w:t xml:space="preserve"> Part II of the Act.</w:t>
      </w:r>
    </w:p>
  </w:footnote>
  <w:footnote w:id="12">
    <w:p w14:paraId="52813C28" w14:textId="4C5A2432" w:rsidR="00A64F3E" w:rsidRDefault="00A64F3E">
      <w:pPr>
        <w:pStyle w:val="FootnoteText"/>
      </w:pPr>
      <w:r>
        <w:rPr>
          <w:rStyle w:val="FootnoteReference"/>
        </w:rPr>
        <w:footnoteRef/>
      </w:r>
      <w:r>
        <w:t xml:space="preserve"> These legal units of measurement are provided for in Schedules 1 and 2 of the NMR.</w:t>
      </w:r>
    </w:p>
  </w:footnote>
  <w:footnote w:id="13">
    <w:p w14:paraId="4638A5C9" w14:textId="79310FEB" w:rsidR="00A64F3E" w:rsidRDefault="00A64F3E">
      <w:pPr>
        <w:pStyle w:val="FootnoteText"/>
      </w:pPr>
      <w:r>
        <w:rPr>
          <w:rStyle w:val="FootnoteReference"/>
        </w:rPr>
        <w:footnoteRef/>
      </w:r>
      <w:r>
        <w:t xml:space="preserve"> Part 3 of the NMR.</w:t>
      </w:r>
    </w:p>
  </w:footnote>
  <w:footnote w:id="14">
    <w:p w14:paraId="1954887B" w14:textId="382C6F83" w:rsidR="00A64F3E" w:rsidRDefault="00A64F3E">
      <w:pPr>
        <w:pStyle w:val="FootnoteText"/>
      </w:pPr>
      <w:r>
        <w:rPr>
          <w:rStyle w:val="FootnoteReference"/>
        </w:rPr>
        <w:footnoteRef/>
      </w:r>
      <w:r>
        <w:t xml:space="preserve"> Part 5 of the NMR.</w:t>
      </w:r>
    </w:p>
  </w:footnote>
  <w:footnote w:id="15">
    <w:p w14:paraId="6C4D5877" w14:textId="1A0BF14B" w:rsidR="00A64F3E" w:rsidRDefault="00A64F3E">
      <w:pPr>
        <w:pStyle w:val="FootnoteText"/>
      </w:pPr>
      <w:r>
        <w:rPr>
          <w:rStyle w:val="FootnoteReference"/>
        </w:rPr>
        <w:footnoteRef/>
      </w:r>
      <w:r>
        <w:t xml:space="preserve"> Part 3A and regulation 73 of the NMR. Section 3 of the Act defines ‘artefact’ to mean ‘</w:t>
      </w:r>
      <w:r w:rsidRPr="00A6708B">
        <w:rPr>
          <w:i/>
        </w:rPr>
        <w:t>a physical object that is not a standard of measurement</w:t>
      </w:r>
      <w:r>
        <w:rPr>
          <w:i/>
        </w:rPr>
        <w:t>’.</w:t>
      </w:r>
    </w:p>
  </w:footnote>
  <w:footnote w:id="16">
    <w:p w14:paraId="4CF943E7" w14:textId="7E919686" w:rsidR="00A64F3E" w:rsidRDefault="00A64F3E" w:rsidP="00D315B5">
      <w:pPr>
        <w:pStyle w:val="FootnoteText"/>
      </w:pPr>
      <w:r>
        <w:rPr>
          <w:rStyle w:val="FootnoteReference"/>
        </w:rPr>
        <w:footnoteRef/>
      </w:r>
      <w:r>
        <w:t xml:space="preserve"> Part 4 and regulation 73 of the NMR.</w:t>
      </w:r>
    </w:p>
  </w:footnote>
  <w:footnote w:id="17">
    <w:p w14:paraId="71617A47" w14:textId="77777777" w:rsidR="00F97DA1" w:rsidRDefault="00F97DA1" w:rsidP="00F97DA1">
      <w:pPr>
        <w:pStyle w:val="FootnoteText"/>
      </w:pPr>
      <w:r>
        <w:rPr>
          <w:rStyle w:val="FootnoteReference"/>
        </w:rPr>
        <w:footnoteRef/>
      </w:r>
      <w:r>
        <w:t xml:space="preserve"> Part X and section 18GH of the Act.</w:t>
      </w:r>
    </w:p>
  </w:footnote>
  <w:footnote w:id="18">
    <w:p w14:paraId="0D27AA4D" w14:textId="77777777" w:rsidR="00F97DA1" w:rsidRDefault="00F97DA1" w:rsidP="00F97DA1">
      <w:pPr>
        <w:pStyle w:val="FootnoteText"/>
      </w:pPr>
      <w:r>
        <w:rPr>
          <w:rStyle w:val="FootnoteReference"/>
        </w:rPr>
        <w:footnoteRef/>
      </w:r>
      <w:r>
        <w:t xml:space="preserve"> Section 18GH of the Act.</w:t>
      </w:r>
    </w:p>
  </w:footnote>
  <w:footnote w:id="19">
    <w:p w14:paraId="680436CE" w14:textId="0991FC54" w:rsidR="00A64F3E" w:rsidRDefault="00A64F3E">
      <w:pPr>
        <w:pStyle w:val="FootnoteText"/>
      </w:pPr>
      <w:r>
        <w:rPr>
          <w:rStyle w:val="FootnoteReference"/>
        </w:rPr>
        <w:footnoteRef/>
      </w:r>
      <w:r>
        <w:t xml:space="preserve"> The Third-Party Arrangements discussion paper will be published in the Review’s website at a later time in 2019.</w:t>
      </w:r>
    </w:p>
  </w:footnote>
  <w:footnote w:id="20">
    <w:p w14:paraId="66591A9A" w14:textId="77777777" w:rsidR="00F97DA1" w:rsidRDefault="00F97DA1" w:rsidP="00F97DA1">
      <w:pPr>
        <w:pStyle w:val="FootnoteText"/>
      </w:pPr>
      <w:r>
        <w:rPr>
          <w:rStyle w:val="FootnoteReference"/>
        </w:rPr>
        <w:footnoteRef/>
      </w:r>
      <w:r>
        <w:t xml:space="preserve"> </w:t>
      </w:r>
      <w:r w:rsidRPr="00105AF5">
        <w:rPr>
          <w:rFonts w:cstheme="minorHAnsi"/>
          <w:iCs/>
        </w:rPr>
        <w:t>More details can be found in ILAC’s policy on Traceability of Measurement Results and NATA’s Metrological Traceability policy with principles aligning with that of ILAC.</w:t>
      </w:r>
    </w:p>
  </w:footnote>
  <w:footnote w:id="21">
    <w:p w14:paraId="3A9FA86C" w14:textId="517B440B" w:rsidR="00F97DA1" w:rsidRDefault="00F97DA1" w:rsidP="00F97DA1">
      <w:pPr>
        <w:pStyle w:val="FootnoteText"/>
      </w:pPr>
      <w:r>
        <w:rPr>
          <w:rStyle w:val="FootnoteReference"/>
        </w:rPr>
        <w:footnoteRef/>
      </w:r>
      <w:r>
        <w:t xml:space="preserve"> </w:t>
      </w:r>
      <w:r w:rsidR="00AC7A4C" w:rsidRPr="00AC7A4C">
        <w:rPr>
          <w:szCs w:val="14"/>
        </w:rPr>
        <w:t xml:space="preserve">The Act, Section 10: </w:t>
      </w:r>
      <w:r w:rsidR="00AC7A4C" w:rsidRPr="00AC7A4C">
        <w:rPr>
          <w:i/>
          <w:iCs/>
          <w:szCs w:val="14"/>
        </w:rPr>
        <w:t>When, for any legal purpose, it is necessary to ascertain whether a measurement of a physical quantity for which there are Australian legal units of measurement has been made or is being made in terms of those units, that fact shall be ascertained by means of, by reference to, by comparison with or by derivation from: (a) an appropriate Australian primary standard of measurement; (b) an appropriate Australian secondary standard of measurement; (c) an appropriate State primary standard of measurement; (d) an appropriate recognized</w:t>
      </w:r>
      <w:r w:rsidR="00AC7A4C" w:rsidRPr="00AC7A4C">
        <w:rPr>
          <w:i/>
          <w:iCs/>
          <w:szCs w:val="14"/>
        </w:rPr>
        <w:noBreakHyphen/>
        <w:t>value standard of measurement; (e) an appropriate reference standard of measurement; (f) 2 or more standards of measurement, each of which is a standard of measurement referred to in paragraph (a), (b), (c), (d) or (e); (g) an Australian certified reference material; (h) a certified measuring instrument; (</w:t>
      </w:r>
      <w:proofErr w:type="spellStart"/>
      <w:r w:rsidR="00AC7A4C" w:rsidRPr="00AC7A4C">
        <w:rPr>
          <w:i/>
          <w:iCs/>
          <w:szCs w:val="14"/>
        </w:rPr>
        <w:t>i</w:t>
      </w:r>
      <w:proofErr w:type="spellEnd"/>
      <w:r w:rsidR="00AC7A4C" w:rsidRPr="00AC7A4C">
        <w:rPr>
          <w:i/>
          <w:iCs/>
          <w:szCs w:val="14"/>
        </w:rPr>
        <w:t>) one or more standards of measurement, each of which is a standard of measurement referred to in paragraph (a), (b), (c), (d) or (e) and an Australian certified reference material; (j) one or more standards of measurement, each of which is a standard of measurement referred to in paragraph (a), (b), (c), (d) or (e) and a certified measuring instrument; or (k) one or more standards of measurement, each of which is a standard of measurement referred to in paragraph (a), (b), (c), (d) or (e), an Australian certified reference material and a certified measuring instrument; and not in any other manner.</w:t>
      </w:r>
    </w:p>
  </w:footnote>
  <w:footnote w:id="22">
    <w:p w14:paraId="0457E9EF" w14:textId="06CAEF90" w:rsidR="0004687A" w:rsidRPr="0004687A" w:rsidRDefault="0004687A" w:rsidP="0004687A">
      <w:pPr>
        <w:rPr>
          <w:sz w:val="16"/>
          <w:szCs w:val="16"/>
        </w:rPr>
      </w:pPr>
      <w:r w:rsidRPr="0004687A">
        <w:rPr>
          <w:rStyle w:val="FootnoteReference"/>
          <w:sz w:val="16"/>
          <w:szCs w:val="16"/>
        </w:rPr>
        <w:footnoteRef/>
      </w:r>
      <w:r w:rsidRPr="0004687A">
        <w:rPr>
          <w:sz w:val="16"/>
          <w:szCs w:val="16"/>
        </w:rPr>
        <w:t xml:space="preserve"> See, for example, </w:t>
      </w:r>
      <w:hyperlink r:id="rId4" w:history="1">
        <w:r w:rsidRPr="0004687A">
          <w:rPr>
            <w:rStyle w:val="Hyperlink"/>
            <w:i/>
            <w:iCs/>
            <w:sz w:val="16"/>
            <w:szCs w:val="16"/>
          </w:rPr>
          <w:t>Marine Order 42 (Carriage, stowage and securing of cargoes and containers) 2016</w:t>
        </w:r>
      </w:hyperlink>
      <w:r w:rsidRPr="0004687A">
        <w:rPr>
          <w:i/>
          <w:iCs/>
          <w:sz w:val="16"/>
          <w:szCs w:val="16"/>
        </w:rPr>
        <w:t xml:space="preserve"> section 10 (Verification of gross mass of cargo units and cargo carried in certain containers [SOLAS VI/2]).</w:t>
      </w:r>
    </w:p>
  </w:footnote>
  <w:footnote w:id="23">
    <w:p w14:paraId="1F7AE895" w14:textId="3BC9AE0C" w:rsidR="00A64F3E" w:rsidRPr="007121E8" w:rsidRDefault="00A64F3E" w:rsidP="005E0C1D">
      <w:pPr>
        <w:spacing w:after="0" w:line="240" w:lineRule="auto"/>
        <w:rPr>
          <w:szCs w:val="16"/>
        </w:rPr>
      </w:pPr>
      <w:r w:rsidRPr="004F6CB0">
        <w:rPr>
          <w:rStyle w:val="FootnoteReference"/>
          <w:sz w:val="16"/>
          <w:szCs w:val="16"/>
        </w:rPr>
        <w:footnoteRef/>
      </w:r>
      <w:r w:rsidRPr="004F6CB0">
        <w:rPr>
          <w:sz w:val="16"/>
          <w:szCs w:val="16"/>
        </w:rPr>
        <w:t xml:space="preserve"> </w:t>
      </w:r>
      <w:r w:rsidRPr="007121E8">
        <w:rPr>
          <w:sz w:val="16"/>
          <w:szCs w:val="16"/>
        </w:rPr>
        <w:t>Second Reading Speech, the Senate, Weights and Measures (National Standards) Bill 1960, 15 November 1960, paragraph 5</w:t>
      </w:r>
      <w:r w:rsidR="005228B6" w:rsidRPr="007121E8">
        <w:rPr>
          <w:sz w:val="16"/>
          <w:szCs w:val="16"/>
        </w:rPr>
        <w:t>:</w:t>
      </w:r>
      <w:r w:rsidRPr="007121E8">
        <w:rPr>
          <w:sz w:val="16"/>
          <w:szCs w:val="16"/>
        </w:rPr>
        <w:t xml:space="preserve"> “</w:t>
      </w:r>
      <w:r w:rsidRPr="00574747">
        <w:rPr>
          <w:sz w:val="16"/>
          <w:szCs w:val="16"/>
        </w:rPr>
        <w:t>The words ‘weights and measures’, although thought of normally as referring to those weights and measures used in commercial transactions, apply to standards of measurements of all physical quantities used in commerce, industry and science…</w:t>
      </w:r>
      <w:r w:rsidRPr="007121E8">
        <w:rPr>
          <w:sz w:val="16"/>
          <w:szCs w:val="16"/>
        </w:rPr>
        <w:t>”</w:t>
      </w:r>
    </w:p>
  </w:footnote>
  <w:footnote w:id="24">
    <w:p w14:paraId="1854F6E5" w14:textId="244FF9C0" w:rsidR="00A64F3E" w:rsidRPr="00D66EB2" w:rsidRDefault="00A64F3E">
      <w:pPr>
        <w:pStyle w:val="FootnoteText"/>
        <w:rPr>
          <w:lang w:val="en-US"/>
        </w:rPr>
      </w:pPr>
      <w:r>
        <w:rPr>
          <w:rStyle w:val="FootnoteReference"/>
        </w:rPr>
        <w:footnoteRef/>
      </w:r>
      <w:r>
        <w:t xml:space="preserve"> This is achieved through a clear statement of maximum permissible uncertainty for standards of measurement, as outlined in Schedules 4 through 10 of the NMR.</w:t>
      </w:r>
    </w:p>
  </w:footnote>
  <w:footnote w:id="25">
    <w:p w14:paraId="49396DCD" w14:textId="1FBDCFE8" w:rsidR="00A64F3E" w:rsidRPr="004F6CB0" w:rsidRDefault="00A64F3E" w:rsidP="005E0C1D">
      <w:pPr>
        <w:pStyle w:val="FootnoteText"/>
        <w:rPr>
          <w:lang w:val="en-US"/>
        </w:rPr>
      </w:pPr>
      <w:r>
        <w:rPr>
          <w:rStyle w:val="FootnoteReference"/>
        </w:rPr>
        <w:footnoteRef/>
      </w:r>
      <w:r>
        <w:t xml:space="preserve"> The Act </w:t>
      </w:r>
      <w:r>
        <w:rPr>
          <w:lang w:val="en-US"/>
        </w:rPr>
        <w:t>Part II (Units and standards of measurement)</w:t>
      </w:r>
      <w:r w:rsidR="005228B6">
        <w:rPr>
          <w:lang w:val="en-US"/>
        </w:rPr>
        <w:t>,</w:t>
      </w:r>
      <w:r>
        <w:rPr>
          <w:lang w:val="en-US"/>
        </w:rPr>
        <w:t xml:space="preserve"> NMR Part 2 (Units of measurement), Part 3 (Standards of measurement), Part 3A (Artefacts)</w:t>
      </w:r>
      <w:r w:rsidR="00AC7A4C">
        <w:rPr>
          <w:lang w:val="en-US"/>
        </w:rPr>
        <w:t>.</w:t>
      </w:r>
    </w:p>
  </w:footnote>
  <w:footnote w:id="26">
    <w:p w14:paraId="2F85CA1E" w14:textId="77777777" w:rsidR="00F97DA1" w:rsidRPr="004F6CB0" w:rsidRDefault="00F97DA1" w:rsidP="00F97DA1">
      <w:pPr>
        <w:pStyle w:val="FootnoteText"/>
        <w:rPr>
          <w:lang w:val="en-US"/>
        </w:rPr>
      </w:pPr>
      <w:r>
        <w:rPr>
          <w:rStyle w:val="FootnoteReference"/>
        </w:rPr>
        <w:footnoteRef/>
      </w:r>
      <w:r>
        <w:t xml:space="preserve"> </w:t>
      </w:r>
      <w:r>
        <w:rPr>
          <w:lang w:val="en-US"/>
        </w:rPr>
        <w:t>NMR Schedules 4-10</w:t>
      </w:r>
    </w:p>
  </w:footnote>
  <w:footnote w:id="27">
    <w:p w14:paraId="28172E83" w14:textId="0616F9FA" w:rsidR="00A64F3E" w:rsidRPr="004F6CB0" w:rsidRDefault="00A64F3E" w:rsidP="005E0C1D">
      <w:pPr>
        <w:pStyle w:val="FootnoteText"/>
        <w:rPr>
          <w:lang w:val="en-US"/>
        </w:rPr>
      </w:pPr>
      <w:r>
        <w:rPr>
          <w:rStyle w:val="FootnoteReference"/>
        </w:rPr>
        <w:footnoteRef/>
      </w:r>
      <w:r>
        <w:t xml:space="preserve"> </w:t>
      </w:r>
      <w:r>
        <w:rPr>
          <w:lang w:val="en-US"/>
        </w:rPr>
        <w:t xml:space="preserve"> NMR Part 3 (Verification of standards of measurement) regulations 11-15</w:t>
      </w:r>
    </w:p>
  </w:footnote>
  <w:footnote w:id="28">
    <w:p w14:paraId="1C602358" w14:textId="54F42FCE" w:rsidR="00A64F3E" w:rsidRPr="004F6CB0" w:rsidRDefault="00A64F3E" w:rsidP="005E0C1D">
      <w:pPr>
        <w:pStyle w:val="FootnoteText"/>
        <w:rPr>
          <w:lang w:val="en-US"/>
        </w:rPr>
      </w:pPr>
      <w:r>
        <w:rPr>
          <w:rStyle w:val="FootnoteReference"/>
        </w:rPr>
        <w:footnoteRef/>
      </w:r>
      <w:r>
        <w:t xml:space="preserve"> </w:t>
      </w:r>
      <w:r>
        <w:rPr>
          <w:lang w:val="en-US"/>
        </w:rPr>
        <w:t>NMR Part 7 (Authorities); Part 8 (Dealing with verification, certification, approval and appointment other than on application)</w:t>
      </w:r>
    </w:p>
  </w:footnote>
  <w:footnote w:id="29">
    <w:p w14:paraId="2F38B2F3" w14:textId="24CE80A7" w:rsidR="00A64F3E" w:rsidRPr="004F6CB0" w:rsidRDefault="00A64F3E" w:rsidP="005E0C1D">
      <w:pPr>
        <w:pStyle w:val="FootnoteText"/>
        <w:rPr>
          <w:lang w:val="en-US"/>
        </w:rPr>
      </w:pPr>
      <w:r>
        <w:rPr>
          <w:rStyle w:val="FootnoteReference"/>
        </w:rPr>
        <w:footnoteRef/>
      </w:r>
      <w:r>
        <w:t xml:space="preserve"> </w:t>
      </w:r>
      <w:r>
        <w:rPr>
          <w:lang w:val="en-US"/>
        </w:rPr>
        <w:t xml:space="preserve"> NMR Part 3 (Marks and certificates of verification; When verification ceases to have effect and may be cancelled; Accuracy, value and uncertainty of standards of measurement) regulations 16-34</w:t>
      </w:r>
      <w:r w:rsidR="00AC7A4C">
        <w:rPr>
          <w:lang w:val="en-US"/>
        </w:rPr>
        <w:t>.</w:t>
      </w:r>
    </w:p>
  </w:footnote>
  <w:footnote w:id="30">
    <w:p w14:paraId="78296DE2" w14:textId="77777777" w:rsidR="00F97DA1" w:rsidRDefault="00F97DA1" w:rsidP="00F97DA1">
      <w:pPr>
        <w:pStyle w:val="FootnoteText"/>
        <w:spacing w:after="0"/>
      </w:pPr>
      <w:r w:rsidRPr="00D4570F">
        <w:rPr>
          <w:rStyle w:val="FootnoteReference"/>
          <w:rFonts w:cstheme="majorHAnsi"/>
          <w:szCs w:val="16"/>
        </w:rPr>
        <w:footnoteRef/>
      </w:r>
      <w:r w:rsidRPr="00D4570F">
        <w:rPr>
          <w:rFonts w:asciiTheme="majorHAnsi" w:hAnsiTheme="majorHAnsi" w:cstheme="majorHAnsi"/>
          <w:szCs w:val="16"/>
        </w:rPr>
        <w:t xml:space="preserve"> </w:t>
      </w:r>
      <w:r>
        <w:rPr>
          <w:rFonts w:asciiTheme="majorHAnsi" w:hAnsiTheme="majorHAnsi" w:cstheme="majorHAnsi"/>
          <w:szCs w:val="16"/>
        </w:rPr>
        <w:t xml:space="preserve">The </w:t>
      </w:r>
      <w:r w:rsidRPr="0099699A">
        <w:t>Act  Part 2 (Units and standards of measurement) section 7, 7A and 7B; NMR, Schedules 1 – 3; see also National Measurement Guidelines 1999</w:t>
      </w:r>
    </w:p>
  </w:footnote>
  <w:footnote w:id="31">
    <w:p w14:paraId="3D20CBEC" w14:textId="2CF0B528" w:rsidR="00F97DA1" w:rsidRPr="00E22DD8" w:rsidRDefault="00F97DA1" w:rsidP="00F97DA1">
      <w:r w:rsidRPr="00E22DD8">
        <w:rPr>
          <w:rStyle w:val="FootnoteReference"/>
        </w:rPr>
        <w:footnoteRef/>
      </w:r>
      <w:r w:rsidRPr="00E22DD8">
        <w:t xml:space="preserve"> </w:t>
      </w:r>
      <w:hyperlink r:id="rId5" w:tooltip="McKinsey website link" w:history="1">
        <w:r w:rsidRPr="00E22DD8">
          <w:rPr>
            <w:rStyle w:val="Hyperlink"/>
            <w:color w:val="auto"/>
            <w:sz w:val="16"/>
          </w:rPr>
          <w:t>https://www.mckinsey.com/mgi/overview/in-the-news/the-ascendancy-of-international-data-flows</w:t>
        </w:r>
      </w:hyperlink>
      <w:r w:rsidRPr="00E22DD8">
        <w:rPr>
          <w:sz w:val="16"/>
        </w:rPr>
        <w:t xml:space="preserve"> </w:t>
      </w:r>
      <w:r w:rsidRPr="007121E8">
        <w:rPr>
          <w:sz w:val="16"/>
        </w:rPr>
        <w:t>“</w:t>
      </w:r>
      <w:r w:rsidRPr="003059FC">
        <w:rPr>
          <w:sz w:val="16"/>
          <w:szCs w:val="20"/>
        </w:rPr>
        <w:t>We found that, since 2005, the volume of data flows, measured in terabits per second, has multiplied … More crucially, and in part driven by the material growth in cross-border data bits internationally, the value of data flows has nearly matched the value of global trade in physical goods. By 2014, cross-border data flows accounted for $2.3 trillion of this value, or roughly 3.5% of total world GDP.”</w:t>
      </w:r>
    </w:p>
  </w:footnote>
  <w:footnote w:id="32">
    <w:p w14:paraId="3CF11C8D" w14:textId="344A2CF4" w:rsidR="00F97DA1" w:rsidRDefault="00F97DA1" w:rsidP="00F97DA1">
      <w:r w:rsidRPr="00EB285D">
        <w:rPr>
          <w:rStyle w:val="FootnoteReference"/>
        </w:rPr>
        <w:footnoteRef/>
      </w:r>
      <w:r w:rsidRPr="00EB285D">
        <w:t xml:space="preserve"> </w:t>
      </w:r>
      <w:r w:rsidRPr="00EB285D">
        <w:rPr>
          <w:rFonts w:asciiTheme="majorHAnsi" w:hAnsiTheme="majorHAnsi" w:cs="Arial"/>
          <w:sz w:val="16"/>
          <w:szCs w:val="16"/>
        </w:rPr>
        <w:t xml:space="preserve">Metrology clouds are proposed by some national measurement institutes and manufacturers as a trustworthy core platform for a digital quality infrastructure. See example in </w:t>
      </w:r>
      <w:hyperlink r:id="rId6" w:tooltip="PTB website link" w:history="1">
        <w:r w:rsidRPr="00FD6741">
          <w:rPr>
            <w:rStyle w:val="Hyperlink"/>
            <w:rFonts w:asciiTheme="majorHAnsi" w:hAnsiTheme="majorHAnsi" w:cs="Arial"/>
            <w:sz w:val="16"/>
            <w:szCs w:val="16"/>
          </w:rPr>
          <w:t>https://www.ptb.de/cms/nc/en/research-development/challenges-and-future-prospects/metrology-for-the-digitalization.html</w:t>
        </w:r>
      </w:hyperlink>
      <w:r>
        <w:rPr>
          <w:rFonts w:asciiTheme="majorHAnsi" w:hAnsiTheme="majorHAnsi" w:cs="Arial"/>
          <w:sz w:val="16"/>
        </w:rPr>
        <w:t xml:space="preserve"> </w:t>
      </w:r>
    </w:p>
  </w:footnote>
  <w:footnote w:id="33">
    <w:p w14:paraId="323F77E7" w14:textId="77777777" w:rsidR="00F97DA1" w:rsidRDefault="00F97DA1" w:rsidP="00F97DA1">
      <w:pPr>
        <w:pStyle w:val="FootnoteText"/>
      </w:pPr>
      <w:r>
        <w:rPr>
          <w:rStyle w:val="FootnoteReference"/>
        </w:rPr>
        <w:footnoteRef/>
      </w:r>
      <w:r>
        <w:t xml:space="preserve"> Second Reading Speech, National Measurement Amendment Bill 2003, 3 December 2003, at paragraph 31 provides “</w:t>
      </w:r>
      <w:r>
        <w:rPr>
          <w:i/>
        </w:rPr>
        <w:t>The decision to create a National Measurement Institute and to bring chemical and biological measurement into the functions of the institute and into the legislation underlines the contemporary importance of these measurement functions for innovation in industry and trade. It also highlights the increasing need for more rigorous metrological principles to be applied to chemical and biological measurement.”</w:t>
      </w:r>
    </w:p>
  </w:footnote>
  <w:footnote w:id="34">
    <w:p w14:paraId="361EFBCF" w14:textId="77777777" w:rsidR="00F97DA1" w:rsidRDefault="00F97DA1" w:rsidP="00F97DA1">
      <w:pPr>
        <w:spacing w:after="0" w:line="240" w:lineRule="auto"/>
      </w:pPr>
      <w:r w:rsidRPr="004F6CB0">
        <w:rPr>
          <w:rStyle w:val="FootnoteReference"/>
          <w:sz w:val="16"/>
          <w:szCs w:val="16"/>
        </w:rPr>
        <w:footnoteRef/>
      </w:r>
      <w:r w:rsidRPr="004F6CB0">
        <w:rPr>
          <w:sz w:val="16"/>
          <w:szCs w:val="16"/>
        </w:rPr>
        <w:t xml:space="preserve"> Explanatory Memorandum, National Measurement Amendment Bill 2003, House of Representatives, </w:t>
      </w:r>
      <w:r>
        <w:rPr>
          <w:sz w:val="16"/>
          <w:szCs w:val="16"/>
        </w:rPr>
        <w:t xml:space="preserve">at </w:t>
      </w:r>
      <w:r w:rsidRPr="004F6CB0">
        <w:rPr>
          <w:sz w:val="16"/>
          <w:szCs w:val="16"/>
        </w:rPr>
        <w:t>item 11 (d)</w:t>
      </w:r>
      <w:r>
        <w:rPr>
          <w:sz w:val="16"/>
          <w:szCs w:val="16"/>
        </w:rPr>
        <w:t xml:space="preserve"> provides “</w:t>
      </w:r>
      <w:r w:rsidRPr="004F6CB0">
        <w:rPr>
          <w:i/>
          <w:sz w:val="16"/>
          <w:szCs w:val="16"/>
        </w:rPr>
        <w:t>The National Measurement Institute will promote understanding of and the application of best practice in measurement. For example, it will promote the use of certified reference materials, where they exist, as standards for chemical measurement.</w:t>
      </w:r>
      <w:r>
        <w:rPr>
          <w:i/>
          <w:sz w:val="16"/>
          <w:szCs w:val="16"/>
        </w:rPr>
        <w:t>”</w:t>
      </w:r>
    </w:p>
  </w:footnote>
  <w:footnote w:id="35">
    <w:p w14:paraId="25413155" w14:textId="77777777" w:rsidR="00F97DA1" w:rsidRPr="003B2BD2" w:rsidRDefault="00F97DA1" w:rsidP="00F97DA1">
      <w:pPr>
        <w:pStyle w:val="FootnoteText"/>
        <w:spacing w:after="0"/>
      </w:pPr>
      <w:r>
        <w:rPr>
          <w:rStyle w:val="FootnoteReference"/>
        </w:rPr>
        <w:footnoteRef/>
      </w:r>
      <w:r>
        <w:t xml:space="preserve">The policy intent (as stated in the National Measurement Amendment Bill 2010 – Explanatory Memorandum, Schedule 1, items 4 and 5) was to replace CRM with ACRM. </w:t>
      </w:r>
      <w:r w:rsidRPr="004F6CB0">
        <w:rPr>
          <w:i/>
        </w:rPr>
        <w:t>“.. removes the term ‘certified reference material’. The latter term is in use in jurisdictions outside Austr</w:t>
      </w:r>
      <w:r>
        <w:rPr>
          <w:i/>
        </w:rPr>
        <w:t>a</w:t>
      </w:r>
      <w:r w:rsidRPr="004F6CB0">
        <w:rPr>
          <w:i/>
        </w:rPr>
        <w:t xml:space="preserve">lia as well as being widely used in a generic term in the field of science. This may cause some stakeholder confusion about </w:t>
      </w:r>
      <w:r w:rsidRPr="003B2BD2">
        <w:rPr>
          <w:i/>
        </w:rPr>
        <w:t>compliance with obligations under Australian law, particularly when using imported products available in Australia and which are described as certified reference materials in their jurisdictions of origin.”</w:t>
      </w:r>
    </w:p>
  </w:footnote>
  <w:footnote w:id="36">
    <w:p w14:paraId="121FA248" w14:textId="77777777" w:rsidR="00F97DA1" w:rsidRPr="00766666" w:rsidRDefault="00F97DA1" w:rsidP="00F97DA1">
      <w:pPr>
        <w:pStyle w:val="FootnoteText"/>
        <w:rPr>
          <w:lang w:val="en-US"/>
        </w:rPr>
      </w:pPr>
      <w:r>
        <w:rPr>
          <w:rStyle w:val="FootnoteReference"/>
        </w:rPr>
        <w:footnoteRef/>
      </w:r>
      <w:r>
        <w:t xml:space="preserve"> Reference materials become </w:t>
      </w:r>
      <w:r>
        <w:rPr>
          <w:lang w:val="en-US"/>
        </w:rPr>
        <w:t xml:space="preserve">certified as Australian certified reference materials under regulation 48 of the NMR.  </w:t>
      </w:r>
    </w:p>
  </w:footnote>
  <w:footnote w:id="37">
    <w:p w14:paraId="083B73DE" w14:textId="72197E0E" w:rsidR="00A64F3E" w:rsidRDefault="00A64F3E" w:rsidP="00FC53CA">
      <w:pPr>
        <w:pStyle w:val="FootnoteText"/>
      </w:pPr>
      <w:r>
        <w:rPr>
          <w:rStyle w:val="FootnoteReference"/>
        </w:rPr>
        <w:footnoteRef/>
      </w:r>
      <w:r>
        <w:t xml:space="preserve"> Paragraph 18(2) (b) of the Act specifies one of the Commonwealth’s metrological functions as being that of “</w:t>
      </w:r>
      <w:r w:rsidRPr="004E106F">
        <w:rPr>
          <w:i/>
        </w:rPr>
        <w:t>realising units of measurement through the development and maintenance of standards of measurement, reference materials and reference techniques.</w:t>
      </w:r>
      <w:r>
        <w:rPr>
          <w:i/>
        </w:rPr>
        <w:t>”</w:t>
      </w:r>
    </w:p>
  </w:footnote>
  <w:footnote w:id="38">
    <w:p w14:paraId="6BD8C724" w14:textId="77777777" w:rsidR="00A64F3E" w:rsidRDefault="00A64F3E" w:rsidP="00FC53CA">
      <w:pPr>
        <w:pStyle w:val="FootnoteText"/>
        <w:spacing w:after="0"/>
      </w:pPr>
      <w:r>
        <w:rPr>
          <w:rStyle w:val="FootnoteReference"/>
        </w:rPr>
        <w:footnoteRef/>
      </w:r>
      <w:r>
        <w:t xml:space="preserve"> Refer to NMR Part 5 (Reference materials) regulation 53: Recognition of foreign reference materials.</w:t>
      </w:r>
    </w:p>
  </w:footnote>
  <w:footnote w:id="39">
    <w:p w14:paraId="7FEABD07" w14:textId="77777777" w:rsidR="00F97DA1" w:rsidRDefault="00F97DA1" w:rsidP="00F97DA1">
      <w:pPr>
        <w:pStyle w:val="FootnoteText"/>
        <w:spacing w:after="0"/>
      </w:pPr>
      <w:r>
        <w:rPr>
          <w:rStyle w:val="FootnoteReference"/>
        </w:rPr>
        <w:footnoteRef/>
      </w:r>
      <w:r>
        <w:t xml:space="preserve"> The Act Section 3 definition</w:t>
      </w:r>
      <w:r w:rsidRPr="004F6CB0">
        <w:rPr>
          <w:i/>
        </w:rPr>
        <w:t xml:space="preserve">: </w:t>
      </w:r>
      <w:r>
        <w:rPr>
          <w:i/>
        </w:rPr>
        <w:t>“</w:t>
      </w:r>
      <w:r w:rsidRPr="004F6CB0">
        <w:rPr>
          <w:i/>
        </w:rPr>
        <w:t>Australian certified reference material means a reference material that has been certified in accordance with the regulations and for which the certification is in effect.</w:t>
      </w:r>
      <w:r>
        <w:rPr>
          <w:i/>
        </w:rPr>
        <w:t>”</w:t>
      </w:r>
      <w:r w:rsidRPr="004F6CB0">
        <w:rPr>
          <w:i/>
        </w:rPr>
        <w:t xml:space="preserve"> </w:t>
      </w:r>
      <w:r>
        <w:t>This definition refers to regulation 48 of the NMR (Certification of reference materials)</w:t>
      </w:r>
    </w:p>
  </w:footnote>
  <w:footnote w:id="40">
    <w:p w14:paraId="586B7F60" w14:textId="33785574" w:rsidR="00A64F3E" w:rsidRDefault="00A64F3E" w:rsidP="00FC53CA">
      <w:pPr>
        <w:pStyle w:val="FootnoteText"/>
        <w:tabs>
          <w:tab w:val="center" w:pos="5233"/>
        </w:tabs>
      </w:pPr>
      <w:r>
        <w:rPr>
          <w:rStyle w:val="FootnoteReference"/>
        </w:rPr>
        <w:footnoteRef/>
      </w:r>
      <w:r>
        <w:t xml:space="preserve"> Refer to NMR Regulation 53 (Recognition of foreign reference materials)</w:t>
      </w:r>
      <w: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FEF470" w14:textId="77777777" w:rsidR="00C81ACD" w:rsidRDefault="00C81A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C3A56" w14:textId="77777777" w:rsidR="00A64F3E" w:rsidRDefault="00A64F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93AE9" w14:textId="77777777" w:rsidR="00A64F3E" w:rsidRPr="002D6D3B" w:rsidRDefault="00A64F3E" w:rsidP="002D6D3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006FB" w14:textId="77777777" w:rsidR="00A64F3E" w:rsidRDefault="00A64F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C0F05DB2"/>
    <w:lvl w:ilvl="0">
      <w:start w:val="1"/>
      <w:numFmt w:val="bullet"/>
      <w:pStyle w:val="ListBullet2"/>
      <w:lvlText w:val=""/>
      <w:lvlJc w:val="left"/>
      <w:pPr>
        <w:ind w:left="644" w:hanging="360"/>
      </w:pPr>
      <w:rPr>
        <w:rFonts w:ascii="Symbol" w:hAnsi="Symbol" w:hint="default"/>
        <w:b/>
        <w:i w:val="0"/>
        <w:color w:val="005677" w:themeColor="accent1"/>
      </w:rPr>
    </w:lvl>
  </w:abstractNum>
  <w:abstractNum w:abstractNumId="1" w15:restartNumberingAfterBreak="0">
    <w:nsid w:val="FFFFFF89"/>
    <w:multiLevelType w:val="singleLevel"/>
    <w:tmpl w:val="131A1AA8"/>
    <w:lvl w:ilvl="0">
      <w:start w:val="1"/>
      <w:numFmt w:val="bullet"/>
      <w:pStyle w:val="ListBullet"/>
      <w:lvlText w:val=""/>
      <w:lvlJc w:val="left"/>
      <w:pPr>
        <w:ind w:left="360" w:hanging="360"/>
      </w:pPr>
      <w:rPr>
        <w:rFonts w:ascii="Symbol" w:hAnsi="Symbol" w:hint="default"/>
        <w:color w:val="005677" w:themeColor="accent1"/>
      </w:rPr>
    </w:lvl>
  </w:abstractNum>
  <w:abstractNum w:abstractNumId="2" w15:restartNumberingAfterBreak="0">
    <w:nsid w:val="00AA2D71"/>
    <w:multiLevelType w:val="hybridMultilevel"/>
    <w:tmpl w:val="1B54DAA0"/>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03A615DA"/>
    <w:multiLevelType w:val="hybridMultilevel"/>
    <w:tmpl w:val="070A89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8455D90"/>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27664"/>
    <w:multiLevelType w:val="multilevel"/>
    <w:tmpl w:val="F4B21BA6"/>
    <w:lvl w:ilvl="0">
      <w:start w:val="1"/>
      <w:numFmt w:val="decimal"/>
      <w:pStyle w:val="NumberLevel1"/>
      <w:lvlText w:val="%1."/>
      <w:lvlJc w:val="left"/>
      <w:pPr>
        <w:tabs>
          <w:tab w:val="num" w:pos="1702"/>
        </w:tabs>
        <w:ind w:left="993" w:hanging="709"/>
      </w:pPr>
      <w:rPr>
        <w:rFonts w:hint="default"/>
        <w:sz w:val="20"/>
      </w:rPr>
    </w:lvl>
    <w:lvl w:ilvl="1">
      <w:start w:val="1"/>
      <w:numFmt w:val="decimal"/>
      <w:pStyle w:val="NumberLevel2"/>
      <w:lvlText w:val="%1.%2."/>
      <w:lvlJc w:val="left"/>
      <w:pPr>
        <w:tabs>
          <w:tab w:val="num" w:pos="709"/>
        </w:tabs>
        <w:ind w:left="0" w:hanging="709"/>
      </w:pPr>
      <w:rPr>
        <w:rFonts w:hint="default"/>
        <w:sz w:val="20"/>
      </w:rPr>
    </w:lvl>
    <w:lvl w:ilvl="2">
      <w:start w:val="1"/>
      <w:numFmt w:val="decimal"/>
      <w:pStyle w:val="NumberLevel3"/>
      <w:lvlText w:val="%1.%2.%3."/>
      <w:lvlJc w:val="left"/>
      <w:pPr>
        <w:tabs>
          <w:tab w:val="num" w:pos="709"/>
        </w:tabs>
        <w:ind w:left="0" w:hanging="709"/>
      </w:pPr>
      <w:rPr>
        <w:rFonts w:hint="default"/>
        <w:sz w:val="20"/>
      </w:rPr>
    </w:lvl>
    <w:lvl w:ilvl="3">
      <w:start w:val="1"/>
      <w:numFmt w:val="lowerLetter"/>
      <w:pStyle w:val="NumberLevel4"/>
      <w:lvlText w:val="%4."/>
      <w:lvlJc w:val="left"/>
      <w:pPr>
        <w:tabs>
          <w:tab w:val="num" w:pos="709"/>
        </w:tabs>
        <w:ind w:left="425" w:hanging="425"/>
      </w:pPr>
      <w:rPr>
        <w:rFonts w:hint="default"/>
      </w:rPr>
    </w:lvl>
    <w:lvl w:ilvl="4">
      <w:start w:val="1"/>
      <w:numFmt w:val="bullet"/>
      <w:pStyle w:val="NumberLevel5"/>
      <w:lvlText w:val=""/>
      <w:lvlJc w:val="left"/>
      <w:pPr>
        <w:tabs>
          <w:tab w:val="num" w:pos="709"/>
        </w:tabs>
        <w:ind w:left="425" w:hanging="425"/>
      </w:pPr>
      <w:rPr>
        <w:rFonts w:ascii="Symbol" w:hAnsi="Symbol" w:hint="default"/>
        <w:b w:val="0"/>
        <w:i w:val="0"/>
        <w:color w:val="auto"/>
      </w:rPr>
    </w:lvl>
    <w:lvl w:ilvl="5">
      <w:start w:val="1"/>
      <w:numFmt w:val="bullet"/>
      <w:pStyle w:val="NumberLevel6"/>
      <w:lvlText w:val="–"/>
      <w:lvlJc w:val="left"/>
      <w:pPr>
        <w:tabs>
          <w:tab w:val="num" w:pos="1418"/>
        </w:tabs>
        <w:ind w:left="851" w:hanging="426"/>
      </w:pPr>
      <w:rPr>
        <w:rFonts w:hint="default"/>
        <w:b w:val="0"/>
        <w:i w:val="0"/>
      </w:rPr>
    </w:lvl>
    <w:lvl w:ilvl="6">
      <w:start w:val="1"/>
      <w:numFmt w:val="bullet"/>
      <w:pStyle w:val="NumberLevel7"/>
      <w:lvlText w:val="–"/>
      <w:lvlJc w:val="left"/>
      <w:pPr>
        <w:tabs>
          <w:tab w:val="num" w:pos="1843"/>
        </w:tabs>
        <w:ind w:left="1276" w:hanging="425"/>
      </w:pPr>
      <w:rPr>
        <w:rFonts w:hint="default"/>
        <w:b w:val="0"/>
        <w:i w:val="0"/>
      </w:rPr>
    </w:lvl>
    <w:lvl w:ilvl="7">
      <w:start w:val="1"/>
      <w:numFmt w:val="bullet"/>
      <w:pStyle w:val="NumberLevel8"/>
      <w:lvlText w:val="–"/>
      <w:lvlJc w:val="left"/>
      <w:pPr>
        <w:tabs>
          <w:tab w:val="num" w:pos="2410"/>
        </w:tabs>
        <w:ind w:left="1701" w:hanging="425"/>
      </w:pPr>
      <w:rPr>
        <w:rFonts w:hint="default"/>
        <w:b w:val="0"/>
        <w:i w:val="0"/>
      </w:rPr>
    </w:lvl>
    <w:lvl w:ilvl="8">
      <w:start w:val="1"/>
      <w:numFmt w:val="bullet"/>
      <w:pStyle w:val="NumberLevel9"/>
      <w:lvlText w:val="–"/>
      <w:lvlJc w:val="left"/>
      <w:pPr>
        <w:tabs>
          <w:tab w:val="num" w:pos="2835"/>
        </w:tabs>
        <w:ind w:left="2126" w:hanging="425"/>
      </w:pPr>
      <w:rPr>
        <w:rFonts w:hint="default"/>
        <w:b w:val="0"/>
        <w:i w:val="0"/>
      </w:rPr>
    </w:lvl>
  </w:abstractNum>
  <w:abstractNum w:abstractNumId="6" w15:restartNumberingAfterBreak="0">
    <w:nsid w:val="218773A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5B1B49"/>
    <w:multiLevelType w:val="multilevel"/>
    <w:tmpl w:val="55B093F8"/>
    <w:lvl w:ilvl="0">
      <w:start w:val="1"/>
      <w:numFmt w:val="none"/>
      <w:lvlRestart w:val="0"/>
      <w:pStyle w:val="Quotation"/>
      <w:suff w:val="nothing"/>
      <w:lvlText w:val=""/>
      <w:lvlJc w:val="left"/>
      <w:pPr>
        <w:tabs>
          <w:tab w:val="num" w:pos="425"/>
        </w:tabs>
        <w:ind w:left="425" w:firstLine="0"/>
      </w:pPr>
    </w:lvl>
    <w:lvl w:ilvl="1">
      <w:start w:val="1"/>
      <w:numFmt w:val="none"/>
      <w:lvlRestart w:val="0"/>
      <w:pStyle w:val="Quotation1"/>
      <w:suff w:val="nothing"/>
      <w:lvlText w:val=""/>
      <w:lvlJc w:val="left"/>
      <w:pPr>
        <w:tabs>
          <w:tab w:val="num" w:pos="425"/>
        </w:tabs>
        <w:ind w:left="425" w:firstLine="0"/>
      </w:pPr>
    </w:lvl>
    <w:lvl w:ilvl="2">
      <w:start w:val="1"/>
      <w:numFmt w:val="none"/>
      <w:lvlRestart w:val="0"/>
      <w:pStyle w:val="Quotation2"/>
      <w:suff w:val="nothing"/>
      <w:lvlText w:val=""/>
      <w:lvlJc w:val="left"/>
      <w:pPr>
        <w:tabs>
          <w:tab w:val="num" w:pos="850"/>
        </w:tabs>
        <w:ind w:left="850" w:firstLine="0"/>
      </w:pPr>
    </w:lvl>
    <w:lvl w:ilvl="3">
      <w:start w:val="1"/>
      <w:numFmt w:val="none"/>
      <w:lvlRestart w:val="0"/>
      <w:pStyle w:val="Quotation3"/>
      <w:suff w:val="nothing"/>
      <w:lvlText w:val=""/>
      <w:lvlJc w:val="left"/>
      <w:pPr>
        <w:tabs>
          <w:tab w:val="num" w:pos="1276"/>
        </w:tabs>
        <w:ind w:left="1276" w:firstLine="0"/>
      </w:pPr>
    </w:lvl>
    <w:lvl w:ilvl="4">
      <w:start w:val="1"/>
      <w:numFmt w:val="none"/>
      <w:lvlRestart w:val="0"/>
      <w:pStyle w:val="Quotation4"/>
      <w:suff w:val="nothing"/>
      <w:lvlText w:val=""/>
      <w:lvlJc w:val="left"/>
      <w:pPr>
        <w:tabs>
          <w:tab w:val="num" w:pos="1701"/>
        </w:tabs>
        <w:ind w:left="1701" w:firstLine="0"/>
      </w:pPr>
    </w:lvl>
    <w:lvl w:ilvl="5">
      <w:start w:val="1"/>
      <w:numFmt w:val="none"/>
      <w:lvlRestart w:val="0"/>
      <w:pStyle w:val="Quotation5"/>
      <w:suff w:val="nothing"/>
      <w:lvlText w:val=""/>
      <w:lvlJc w:val="left"/>
      <w:pPr>
        <w:tabs>
          <w:tab w:val="num" w:pos="2126"/>
        </w:tabs>
        <w:ind w:left="2126" w:firstLine="0"/>
      </w:pPr>
    </w:lvl>
    <w:lvl w:ilvl="6">
      <w:start w:val="1"/>
      <w:numFmt w:val="none"/>
      <w:lvlRestart w:val="0"/>
      <w:pStyle w:val="Quotation6"/>
      <w:suff w:val="nothing"/>
      <w:lvlText w:val=""/>
      <w:lvlJc w:val="left"/>
      <w:pPr>
        <w:tabs>
          <w:tab w:val="num" w:pos="2551"/>
        </w:tabs>
        <w:ind w:left="2551" w:firstLine="0"/>
      </w:pPr>
    </w:lvl>
    <w:lvl w:ilvl="7">
      <w:start w:val="1"/>
      <w:numFmt w:val="none"/>
      <w:lvlRestart w:val="0"/>
      <w:pStyle w:val="Quotation7"/>
      <w:suff w:val="nothing"/>
      <w:lvlText w:val=""/>
      <w:lvlJc w:val="left"/>
      <w:pPr>
        <w:tabs>
          <w:tab w:val="num" w:pos="2976"/>
        </w:tabs>
        <w:ind w:left="2976" w:firstLine="0"/>
      </w:pPr>
    </w:lvl>
    <w:lvl w:ilvl="8">
      <w:start w:val="1"/>
      <w:numFmt w:val="none"/>
      <w:lvlRestart w:val="0"/>
      <w:pStyle w:val="Quotation8"/>
      <w:suff w:val="nothing"/>
      <w:lvlText w:val=""/>
      <w:lvlJc w:val="left"/>
      <w:pPr>
        <w:tabs>
          <w:tab w:val="num" w:pos="3402"/>
        </w:tabs>
        <w:ind w:left="3402" w:firstLine="0"/>
      </w:pPr>
    </w:lvl>
  </w:abstractNum>
  <w:abstractNum w:abstractNumId="8" w15:restartNumberingAfterBreak="0">
    <w:nsid w:val="26F836D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3B2549"/>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EAE1824"/>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294187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60B749C"/>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B34D5A"/>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B02592"/>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CE245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A9560E"/>
    <w:multiLevelType w:val="hybridMultilevel"/>
    <w:tmpl w:val="416E84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D6D24DB"/>
    <w:multiLevelType w:val="hybridMultilevel"/>
    <w:tmpl w:val="50F08C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15:restartNumberingAfterBreak="0">
    <w:nsid w:val="4F757538"/>
    <w:multiLevelType w:val="hybridMultilevel"/>
    <w:tmpl w:val="4D74AA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0994653"/>
    <w:multiLevelType w:val="hybridMultilevel"/>
    <w:tmpl w:val="5704C2E0"/>
    <w:lvl w:ilvl="0" w:tplc="B5F880B4">
      <w:start w:val="5"/>
      <w:numFmt w:val="decimal"/>
      <w:lvlText w:val="%1."/>
      <w:lvlJc w:val="left"/>
      <w:pPr>
        <w:ind w:left="1080" w:hanging="720"/>
      </w:pPr>
      <w:rPr>
        <w:rFonts w:hint="default"/>
      </w:rPr>
    </w:lvl>
    <w:lvl w:ilvl="1" w:tplc="D7C89046">
      <w:start w:val="1"/>
      <w:numFmt w:val="lowerLetter"/>
      <w:lvlText w:val="5.2.4.%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C6B4C0C"/>
    <w:multiLevelType w:val="hybridMultilevel"/>
    <w:tmpl w:val="4852075C"/>
    <w:lvl w:ilvl="0" w:tplc="0C090001">
      <w:start w:val="1"/>
      <w:numFmt w:val="bullet"/>
      <w:lvlText w:val=""/>
      <w:lvlJc w:val="left"/>
      <w:pPr>
        <w:ind w:left="774" w:hanging="360"/>
      </w:pPr>
      <w:rPr>
        <w:rFonts w:ascii="Symbol" w:hAnsi="Symbol" w:hint="default"/>
      </w:rPr>
    </w:lvl>
    <w:lvl w:ilvl="1" w:tplc="0C090003" w:tentative="1">
      <w:start w:val="1"/>
      <w:numFmt w:val="bullet"/>
      <w:lvlText w:val="o"/>
      <w:lvlJc w:val="left"/>
      <w:pPr>
        <w:ind w:left="1494" w:hanging="360"/>
      </w:pPr>
      <w:rPr>
        <w:rFonts w:ascii="Courier New" w:hAnsi="Courier New" w:cs="Courier New" w:hint="default"/>
      </w:rPr>
    </w:lvl>
    <w:lvl w:ilvl="2" w:tplc="0C090005" w:tentative="1">
      <w:start w:val="1"/>
      <w:numFmt w:val="bullet"/>
      <w:lvlText w:val=""/>
      <w:lvlJc w:val="left"/>
      <w:pPr>
        <w:ind w:left="2214" w:hanging="360"/>
      </w:pPr>
      <w:rPr>
        <w:rFonts w:ascii="Wingdings" w:hAnsi="Wingdings" w:hint="default"/>
      </w:rPr>
    </w:lvl>
    <w:lvl w:ilvl="3" w:tplc="0C090001" w:tentative="1">
      <w:start w:val="1"/>
      <w:numFmt w:val="bullet"/>
      <w:lvlText w:val=""/>
      <w:lvlJc w:val="left"/>
      <w:pPr>
        <w:ind w:left="2934" w:hanging="360"/>
      </w:pPr>
      <w:rPr>
        <w:rFonts w:ascii="Symbol" w:hAnsi="Symbol" w:hint="default"/>
      </w:rPr>
    </w:lvl>
    <w:lvl w:ilvl="4" w:tplc="0C090003" w:tentative="1">
      <w:start w:val="1"/>
      <w:numFmt w:val="bullet"/>
      <w:lvlText w:val="o"/>
      <w:lvlJc w:val="left"/>
      <w:pPr>
        <w:ind w:left="3654" w:hanging="360"/>
      </w:pPr>
      <w:rPr>
        <w:rFonts w:ascii="Courier New" w:hAnsi="Courier New" w:cs="Courier New" w:hint="default"/>
      </w:rPr>
    </w:lvl>
    <w:lvl w:ilvl="5" w:tplc="0C090005" w:tentative="1">
      <w:start w:val="1"/>
      <w:numFmt w:val="bullet"/>
      <w:lvlText w:val=""/>
      <w:lvlJc w:val="left"/>
      <w:pPr>
        <w:ind w:left="4374" w:hanging="360"/>
      </w:pPr>
      <w:rPr>
        <w:rFonts w:ascii="Wingdings" w:hAnsi="Wingdings" w:hint="default"/>
      </w:rPr>
    </w:lvl>
    <w:lvl w:ilvl="6" w:tplc="0C090001" w:tentative="1">
      <w:start w:val="1"/>
      <w:numFmt w:val="bullet"/>
      <w:lvlText w:val=""/>
      <w:lvlJc w:val="left"/>
      <w:pPr>
        <w:ind w:left="5094" w:hanging="360"/>
      </w:pPr>
      <w:rPr>
        <w:rFonts w:ascii="Symbol" w:hAnsi="Symbol" w:hint="default"/>
      </w:rPr>
    </w:lvl>
    <w:lvl w:ilvl="7" w:tplc="0C090003" w:tentative="1">
      <w:start w:val="1"/>
      <w:numFmt w:val="bullet"/>
      <w:lvlText w:val="o"/>
      <w:lvlJc w:val="left"/>
      <w:pPr>
        <w:ind w:left="5814" w:hanging="360"/>
      </w:pPr>
      <w:rPr>
        <w:rFonts w:ascii="Courier New" w:hAnsi="Courier New" w:cs="Courier New" w:hint="default"/>
      </w:rPr>
    </w:lvl>
    <w:lvl w:ilvl="8" w:tplc="0C090005" w:tentative="1">
      <w:start w:val="1"/>
      <w:numFmt w:val="bullet"/>
      <w:lvlText w:val=""/>
      <w:lvlJc w:val="left"/>
      <w:pPr>
        <w:ind w:left="6534" w:hanging="360"/>
      </w:pPr>
      <w:rPr>
        <w:rFonts w:ascii="Wingdings" w:hAnsi="Wingdings" w:hint="default"/>
      </w:rPr>
    </w:lvl>
  </w:abstractNum>
  <w:abstractNum w:abstractNumId="21" w15:restartNumberingAfterBreak="0">
    <w:nsid w:val="5C9C290E"/>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276088F"/>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2C03B5"/>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7167360"/>
    <w:multiLevelType w:val="hybridMultilevel"/>
    <w:tmpl w:val="D5E68A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84F5AC0"/>
    <w:multiLevelType w:val="hybridMultilevel"/>
    <w:tmpl w:val="2AE618F6"/>
    <w:lvl w:ilvl="0" w:tplc="DF80E198">
      <w:start w:val="1"/>
      <w:numFmt w:val="lowerLetter"/>
      <w:lvlText w:val="5.2.1.%1."/>
      <w:lvlJc w:val="left"/>
      <w:pPr>
        <w:ind w:left="144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6DC912B6"/>
    <w:multiLevelType w:val="hybridMultilevel"/>
    <w:tmpl w:val="E95AD3BC"/>
    <w:lvl w:ilvl="0" w:tplc="B220164C">
      <w:start w:val="1"/>
      <w:numFmt w:val="lowerLetter"/>
      <w:lvlText w:val="5.2.2.%1."/>
      <w:lvlJc w:val="left"/>
      <w:pPr>
        <w:ind w:left="1800" w:hanging="360"/>
      </w:pPr>
      <w:rPr>
        <w:rFonts w:hint="default"/>
      </w:rPr>
    </w:lvl>
    <w:lvl w:ilvl="1" w:tplc="F4529C62">
      <w:start w:val="1"/>
      <w:numFmt w:val="lowerLetter"/>
      <w:lvlText w:val="5.2.2.%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73084DE6"/>
    <w:multiLevelType w:val="hybridMultilevel"/>
    <w:tmpl w:val="6762A52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5"/>
  </w:num>
  <w:num w:numId="4">
    <w:abstractNumId w:val="7"/>
  </w:num>
  <w:num w:numId="5">
    <w:abstractNumId w:val="16"/>
  </w:num>
  <w:num w:numId="6">
    <w:abstractNumId w:val="24"/>
  </w:num>
  <w:num w:numId="7">
    <w:abstractNumId w:val="17"/>
  </w:num>
  <w:num w:numId="8">
    <w:abstractNumId w:val="2"/>
  </w:num>
  <w:num w:numId="9">
    <w:abstractNumId w:val="3"/>
  </w:num>
  <w:num w:numId="10">
    <w:abstractNumId w:val="27"/>
  </w:num>
  <w:num w:numId="11">
    <w:abstractNumId w:val="20"/>
  </w:num>
  <w:num w:numId="12">
    <w:abstractNumId w:val="19"/>
  </w:num>
  <w:num w:numId="13">
    <w:abstractNumId w:val="18"/>
  </w:num>
  <w:num w:numId="14">
    <w:abstractNumId w:val="25"/>
  </w:num>
  <w:num w:numId="15">
    <w:abstractNumId w:val="26"/>
  </w:num>
  <w:num w:numId="16">
    <w:abstractNumId w:val="23"/>
  </w:num>
  <w:num w:numId="17">
    <w:abstractNumId w:val="13"/>
  </w:num>
  <w:num w:numId="18">
    <w:abstractNumId w:val="6"/>
  </w:num>
  <w:num w:numId="19">
    <w:abstractNumId w:val="11"/>
  </w:num>
  <w:num w:numId="20">
    <w:abstractNumId w:val="21"/>
  </w:num>
  <w:num w:numId="21">
    <w:abstractNumId w:val="10"/>
  </w:num>
  <w:num w:numId="22">
    <w:abstractNumId w:val="22"/>
  </w:num>
  <w:num w:numId="23">
    <w:abstractNumId w:val="15"/>
  </w:num>
  <w:num w:numId="24">
    <w:abstractNumId w:val="4"/>
  </w:num>
  <w:num w:numId="25">
    <w:abstractNumId w:val="14"/>
  </w:num>
  <w:num w:numId="26">
    <w:abstractNumId w:val="12"/>
  </w:num>
  <w:num w:numId="27">
    <w:abstractNumId w:val="9"/>
  </w:num>
  <w:num w:numId="2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removePersonalInformation/>
  <w:removeDateAndTime/>
  <w:hideSpellingErrors/>
  <w:hideGrammaticalErrors/>
  <w:proofState w:spelling="clean"/>
  <w:defaultTabStop w:val="720"/>
  <w:characterSpacingControl w:val="doNotCompress"/>
  <w:hdrShapeDefaults>
    <o:shapedefaults v:ext="edit" spidmax="839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847"/>
    <w:rsid w:val="000031F7"/>
    <w:rsid w:val="00004EEA"/>
    <w:rsid w:val="00006803"/>
    <w:rsid w:val="0001039E"/>
    <w:rsid w:val="0001092E"/>
    <w:rsid w:val="000109FC"/>
    <w:rsid w:val="00011A92"/>
    <w:rsid w:val="00011FEE"/>
    <w:rsid w:val="00012B37"/>
    <w:rsid w:val="000159CB"/>
    <w:rsid w:val="00016109"/>
    <w:rsid w:val="000163F3"/>
    <w:rsid w:val="00016C14"/>
    <w:rsid w:val="00017E9C"/>
    <w:rsid w:val="00021A29"/>
    <w:rsid w:val="00023D99"/>
    <w:rsid w:val="0002457D"/>
    <w:rsid w:val="000246E8"/>
    <w:rsid w:val="0003115F"/>
    <w:rsid w:val="00033291"/>
    <w:rsid w:val="00035DF5"/>
    <w:rsid w:val="0003614B"/>
    <w:rsid w:val="00041320"/>
    <w:rsid w:val="00041DF2"/>
    <w:rsid w:val="00044D95"/>
    <w:rsid w:val="0004687A"/>
    <w:rsid w:val="000468C8"/>
    <w:rsid w:val="000516A5"/>
    <w:rsid w:val="000527AC"/>
    <w:rsid w:val="000546D6"/>
    <w:rsid w:val="00054750"/>
    <w:rsid w:val="00056C5B"/>
    <w:rsid w:val="0006050A"/>
    <w:rsid w:val="00062DC6"/>
    <w:rsid w:val="00064ACA"/>
    <w:rsid w:val="00065E87"/>
    <w:rsid w:val="00067096"/>
    <w:rsid w:val="000707D7"/>
    <w:rsid w:val="00070A94"/>
    <w:rsid w:val="000736A5"/>
    <w:rsid w:val="000742E8"/>
    <w:rsid w:val="00075F7C"/>
    <w:rsid w:val="00076B74"/>
    <w:rsid w:val="00080A85"/>
    <w:rsid w:val="00084050"/>
    <w:rsid w:val="000851D4"/>
    <w:rsid w:val="00086A8A"/>
    <w:rsid w:val="000878C7"/>
    <w:rsid w:val="00094220"/>
    <w:rsid w:val="0009490F"/>
    <w:rsid w:val="00094E18"/>
    <w:rsid w:val="00095412"/>
    <w:rsid w:val="00096511"/>
    <w:rsid w:val="00097139"/>
    <w:rsid w:val="000A41A9"/>
    <w:rsid w:val="000A503A"/>
    <w:rsid w:val="000A5D71"/>
    <w:rsid w:val="000A5DCD"/>
    <w:rsid w:val="000A785A"/>
    <w:rsid w:val="000B0745"/>
    <w:rsid w:val="000B3ACD"/>
    <w:rsid w:val="000B4294"/>
    <w:rsid w:val="000B4D93"/>
    <w:rsid w:val="000C183C"/>
    <w:rsid w:val="000C2D06"/>
    <w:rsid w:val="000C5E72"/>
    <w:rsid w:val="000D0790"/>
    <w:rsid w:val="000D0908"/>
    <w:rsid w:val="000D0BBD"/>
    <w:rsid w:val="000D1B12"/>
    <w:rsid w:val="000D240C"/>
    <w:rsid w:val="000D308C"/>
    <w:rsid w:val="000D3136"/>
    <w:rsid w:val="000D32DA"/>
    <w:rsid w:val="000D4E13"/>
    <w:rsid w:val="000D5F2B"/>
    <w:rsid w:val="000D69AE"/>
    <w:rsid w:val="000D75D6"/>
    <w:rsid w:val="000E1C55"/>
    <w:rsid w:val="000E4665"/>
    <w:rsid w:val="000E4C02"/>
    <w:rsid w:val="000E504B"/>
    <w:rsid w:val="000E6093"/>
    <w:rsid w:val="000E6575"/>
    <w:rsid w:val="000E73B7"/>
    <w:rsid w:val="000F0866"/>
    <w:rsid w:val="000F15B0"/>
    <w:rsid w:val="000F2149"/>
    <w:rsid w:val="000F2330"/>
    <w:rsid w:val="000F424E"/>
    <w:rsid w:val="000F79FA"/>
    <w:rsid w:val="00103DF5"/>
    <w:rsid w:val="0010428B"/>
    <w:rsid w:val="00104ADE"/>
    <w:rsid w:val="00104C7D"/>
    <w:rsid w:val="00107499"/>
    <w:rsid w:val="0011144B"/>
    <w:rsid w:val="00111D17"/>
    <w:rsid w:val="00111D6B"/>
    <w:rsid w:val="0011389F"/>
    <w:rsid w:val="00121472"/>
    <w:rsid w:val="0012161D"/>
    <w:rsid w:val="00123BA7"/>
    <w:rsid w:val="00124368"/>
    <w:rsid w:val="0012479A"/>
    <w:rsid w:val="00126A04"/>
    <w:rsid w:val="001303D4"/>
    <w:rsid w:val="00130488"/>
    <w:rsid w:val="001326A2"/>
    <w:rsid w:val="00133788"/>
    <w:rsid w:val="0013462A"/>
    <w:rsid w:val="00135154"/>
    <w:rsid w:val="001352DA"/>
    <w:rsid w:val="00136683"/>
    <w:rsid w:val="00137366"/>
    <w:rsid w:val="00137440"/>
    <w:rsid w:val="001400A1"/>
    <w:rsid w:val="0014011A"/>
    <w:rsid w:val="00141046"/>
    <w:rsid w:val="00142307"/>
    <w:rsid w:val="00145096"/>
    <w:rsid w:val="00145C64"/>
    <w:rsid w:val="00145C68"/>
    <w:rsid w:val="00145CB5"/>
    <w:rsid w:val="0014600F"/>
    <w:rsid w:val="0014756F"/>
    <w:rsid w:val="00147D9B"/>
    <w:rsid w:val="00150AEA"/>
    <w:rsid w:val="00151D23"/>
    <w:rsid w:val="00152AD2"/>
    <w:rsid w:val="00157846"/>
    <w:rsid w:val="00160E0C"/>
    <w:rsid w:val="0016154C"/>
    <w:rsid w:val="00163B54"/>
    <w:rsid w:val="001648C4"/>
    <w:rsid w:val="001648EB"/>
    <w:rsid w:val="001653D2"/>
    <w:rsid w:val="001705FC"/>
    <w:rsid w:val="00171986"/>
    <w:rsid w:val="001805AC"/>
    <w:rsid w:val="001839A1"/>
    <w:rsid w:val="0018431F"/>
    <w:rsid w:val="001852BF"/>
    <w:rsid w:val="001853C7"/>
    <w:rsid w:val="00192D58"/>
    <w:rsid w:val="001A0F0E"/>
    <w:rsid w:val="001A1C82"/>
    <w:rsid w:val="001A25AE"/>
    <w:rsid w:val="001A2DC6"/>
    <w:rsid w:val="001B134E"/>
    <w:rsid w:val="001B1C61"/>
    <w:rsid w:val="001B22E9"/>
    <w:rsid w:val="001B4730"/>
    <w:rsid w:val="001B5CF5"/>
    <w:rsid w:val="001B6711"/>
    <w:rsid w:val="001B783E"/>
    <w:rsid w:val="001C0035"/>
    <w:rsid w:val="001C007A"/>
    <w:rsid w:val="001C0240"/>
    <w:rsid w:val="001C2AC5"/>
    <w:rsid w:val="001D05B9"/>
    <w:rsid w:val="001D086E"/>
    <w:rsid w:val="001D1C0B"/>
    <w:rsid w:val="001D62BE"/>
    <w:rsid w:val="001D6F1E"/>
    <w:rsid w:val="001D6F53"/>
    <w:rsid w:val="001D6F95"/>
    <w:rsid w:val="001D7D0C"/>
    <w:rsid w:val="001E3FBE"/>
    <w:rsid w:val="001E4796"/>
    <w:rsid w:val="001E6F9A"/>
    <w:rsid w:val="001F0878"/>
    <w:rsid w:val="001F1873"/>
    <w:rsid w:val="001F1AA1"/>
    <w:rsid w:val="001F1CE9"/>
    <w:rsid w:val="001F4850"/>
    <w:rsid w:val="001F48A5"/>
    <w:rsid w:val="001F4FEB"/>
    <w:rsid w:val="001F5F81"/>
    <w:rsid w:val="001F71FE"/>
    <w:rsid w:val="001F7DDA"/>
    <w:rsid w:val="00201767"/>
    <w:rsid w:val="00201C2A"/>
    <w:rsid w:val="002020F7"/>
    <w:rsid w:val="00202786"/>
    <w:rsid w:val="00202F66"/>
    <w:rsid w:val="002046DA"/>
    <w:rsid w:val="00206581"/>
    <w:rsid w:val="0020752B"/>
    <w:rsid w:val="002106C5"/>
    <w:rsid w:val="00212538"/>
    <w:rsid w:val="0021504C"/>
    <w:rsid w:val="00220BFA"/>
    <w:rsid w:val="002218B8"/>
    <w:rsid w:val="00221BC7"/>
    <w:rsid w:val="00222F9F"/>
    <w:rsid w:val="002239F9"/>
    <w:rsid w:val="00226451"/>
    <w:rsid w:val="00226D37"/>
    <w:rsid w:val="002272FC"/>
    <w:rsid w:val="00227651"/>
    <w:rsid w:val="00227B58"/>
    <w:rsid w:val="002300AC"/>
    <w:rsid w:val="00230678"/>
    <w:rsid w:val="0023225C"/>
    <w:rsid w:val="00232AF5"/>
    <w:rsid w:val="0023317C"/>
    <w:rsid w:val="00233869"/>
    <w:rsid w:val="002359FE"/>
    <w:rsid w:val="00240891"/>
    <w:rsid w:val="00241DAB"/>
    <w:rsid w:val="00242842"/>
    <w:rsid w:val="00242F27"/>
    <w:rsid w:val="00243612"/>
    <w:rsid w:val="00244596"/>
    <w:rsid w:val="00245B9E"/>
    <w:rsid w:val="00246FAB"/>
    <w:rsid w:val="00247135"/>
    <w:rsid w:val="00247322"/>
    <w:rsid w:val="002502AC"/>
    <w:rsid w:val="002509B5"/>
    <w:rsid w:val="00250BD3"/>
    <w:rsid w:val="00250EA4"/>
    <w:rsid w:val="00251A70"/>
    <w:rsid w:val="00251EF6"/>
    <w:rsid w:val="002530A6"/>
    <w:rsid w:val="00254994"/>
    <w:rsid w:val="002552A9"/>
    <w:rsid w:val="00255637"/>
    <w:rsid w:val="00255940"/>
    <w:rsid w:val="00255C2D"/>
    <w:rsid w:val="00256D45"/>
    <w:rsid w:val="00262ED6"/>
    <w:rsid w:val="00263498"/>
    <w:rsid w:val="00263E00"/>
    <w:rsid w:val="00265906"/>
    <w:rsid w:val="00265D34"/>
    <w:rsid w:val="00270626"/>
    <w:rsid w:val="00274A84"/>
    <w:rsid w:val="0027549B"/>
    <w:rsid w:val="00275C6B"/>
    <w:rsid w:val="00275C9A"/>
    <w:rsid w:val="00275D2B"/>
    <w:rsid w:val="00277DAA"/>
    <w:rsid w:val="002831AD"/>
    <w:rsid w:val="002856B9"/>
    <w:rsid w:val="00291313"/>
    <w:rsid w:val="0029216A"/>
    <w:rsid w:val="00295053"/>
    <w:rsid w:val="00295F0C"/>
    <w:rsid w:val="00296446"/>
    <w:rsid w:val="002A0585"/>
    <w:rsid w:val="002A2429"/>
    <w:rsid w:val="002A2DEA"/>
    <w:rsid w:val="002A2FDB"/>
    <w:rsid w:val="002A4057"/>
    <w:rsid w:val="002A41D8"/>
    <w:rsid w:val="002A433A"/>
    <w:rsid w:val="002A7229"/>
    <w:rsid w:val="002A75D3"/>
    <w:rsid w:val="002A7721"/>
    <w:rsid w:val="002B03AB"/>
    <w:rsid w:val="002B0EA5"/>
    <w:rsid w:val="002B1ADF"/>
    <w:rsid w:val="002B4229"/>
    <w:rsid w:val="002B4353"/>
    <w:rsid w:val="002B57BF"/>
    <w:rsid w:val="002B6A6B"/>
    <w:rsid w:val="002B6C77"/>
    <w:rsid w:val="002B7F71"/>
    <w:rsid w:val="002C0BCD"/>
    <w:rsid w:val="002C1C15"/>
    <w:rsid w:val="002C20E7"/>
    <w:rsid w:val="002C3999"/>
    <w:rsid w:val="002C6B93"/>
    <w:rsid w:val="002D1E1A"/>
    <w:rsid w:val="002D2976"/>
    <w:rsid w:val="002D2C2D"/>
    <w:rsid w:val="002D38F2"/>
    <w:rsid w:val="002D3954"/>
    <w:rsid w:val="002D58C6"/>
    <w:rsid w:val="002D6D3B"/>
    <w:rsid w:val="002D74D3"/>
    <w:rsid w:val="002E0291"/>
    <w:rsid w:val="002E12C9"/>
    <w:rsid w:val="002E14EA"/>
    <w:rsid w:val="002E201E"/>
    <w:rsid w:val="002E619F"/>
    <w:rsid w:val="002E69F4"/>
    <w:rsid w:val="002E7675"/>
    <w:rsid w:val="002E7EC1"/>
    <w:rsid w:val="002F1B2D"/>
    <w:rsid w:val="002F21D9"/>
    <w:rsid w:val="002F2512"/>
    <w:rsid w:val="002F2E0B"/>
    <w:rsid w:val="002F32F9"/>
    <w:rsid w:val="002F5CD4"/>
    <w:rsid w:val="002F5F15"/>
    <w:rsid w:val="002F6236"/>
    <w:rsid w:val="002F6567"/>
    <w:rsid w:val="002F65AF"/>
    <w:rsid w:val="002F6DE8"/>
    <w:rsid w:val="002F7DC1"/>
    <w:rsid w:val="0030001E"/>
    <w:rsid w:val="003012AE"/>
    <w:rsid w:val="0030225B"/>
    <w:rsid w:val="00303478"/>
    <w:rsid w:val="00303A41"/>
    <w:rsid w:val="00303C53"/>
    <w:rsid w:val="00304F04"/>
    <w:rsid w:val="003055A7"/>
    <w:rsid w:val="003059FC"/>
    <w:rsid w:val="00306F62"/>
    <w:rsid w:val="00306FA9"/>
    <w:rsid w:val="00307CF0"/>
    <w:rsid w:val="003102BB"/>
    <w:rsid w:val="00310838"/>
    <w:rsid w:val="00311752"/>
    <w:rsid w:val="00311DF8"/>
    <w:rsid w:val="003123D8"/>
    <w:rsid w:val="00312E0A"/>
    <w:rsid w:val="00313D57"/>
    <w:rsid w:val="00314DBA"/>
    <w:rsid w:val="0031658C"/>
    <w:rsid w:val="00316E18"/>
    <w:rsid w:val="0031723A"/>
    <w:rsid w:val="003201BA"/>
    <w:rsid w:val="00320A3E"/>
    <w:rsid w:val="00320B11"/>
    <w:rsid w:val="00321CC3"/>
    <w:rsid w:val="00322AB4"/>
    <w:rsid w:val="00323623"/>
    <w:rsid w:val="00325A37"/>
    <w:rsid w:val="00327E04"/>
    <w:rsid w:val="003305FD"/>
    <w:rsid w:val="00330999"/>
    <w:rsid w:val="003309FC"/>
    <w:rsid w:val="00333C59"/>
    <w:rsid w:val="00334A89"/>
    <w:rsid w:val="00340053"/>
    <w:rsid w:val="003404DF"/>
    <w:rsid w:val="00341AFC"/>
    <w:rsid w:val="00343BE5"/>
    <w:rsid w:val="00344A56"/>
    <w:rsid w:val="003468C5"/>
    <w:rsid w:val="0034733C"/>
    <w:rsid w:val="0034791E"/>
    <w:rsid w:val="0035265D"/>
    <w:rsid w:val="00352A73"/>
    <w:rsid w:val="0035405F"/>
    <w:rsid w:val="00354B5E"/>
    <w:rsid w:val="003552CC"/>
    <w:rsid w:val="00355C6B"/>
    <w:rsid w:val="00357883"/>
    <w:rsid w:val="003601DD"/>
    <w:rsid w:val="00360407"/>
    <w:rsid w:val="00360E35"/>
    <w:rsid w:val="00360E3D"/>
    <w:rsid w:val="0036115A"/>
    <w:rsid w:val="003630F9"/>
    <w:rsid w:val="00365418"/>
    <w:rsid w:val="00366CEF"/>
    <w:rsid w:val="00371772"/>
    <w:rsid w:val="00374980"/>
    <w:rsid w:val="00380E80"/>
    <w:rsid w:val="0038180F"/>
    <w:rsid w:val="003829F2"/>
    <w:rsid w:val="003831BB"/>
    <w:rsid w:val="00383785"/>
    <w:rsid w:val="00384367"/>
    <w:rsid w:val="0038442D"/>
    <w:rsid w:val="003870BF"/>
    <w:rsid w:val="003901B1"/>
    <w:rsid w:val="00391CCB"/>
    <w:rsid w:val="00393561"/>
    <w:rsid w:val="00393A17"/>
    <w:rsid w:val="00394E02"/>
    <w:rsid w:val="00395A31"/>
    <w:rsid w:val="00396738"/>
    <w:rsid w:val="003A0ABA"/>
    <w:rsid w:val="003A1E8D"/>
    <w:rsid w:val="003A24BB"/>
    <w:rsid w:val="003A4382"/>
    <w:rsid w:val="003A4AF9"/>
    <w:rsid w:val="003A64D9"/>
    <w:rsid w:val="003A7ADE"/>
    <w:rsid w:val="003B2BD4"/>
    <w:rsid w:val="003B2CB4"/>
    <w:rsid w:val="003B5D97"/>
    <w:rsid w:val="003B69F4"/>
    <w:rsid w:val="003B76C0"/>
    <w:rsid w:val="003C1EFC"/>
    <w:rsid w:val="003C261F"/>
    <w:rsid w:val="003D11D6"/>
    <w:rsid w:val="003D2568"/>
    <w:rsid w:val="003D2762"/>
    <w:rsid w:val="003D2C89"/>
    <w:rsid w:val="003D71E5"/>
    <w:rsid w:val="003D72BE"/>
    <w:rsid w:val="003E0BD3"/>
    <w:rsid w:val="003E184D"/>
    <w:rsid w:val="003E2510"/>
    <w:rsid w:val="003E2B70"/>
    <w:rsid w:val="003E38C7"/>
    <w:rsid w:val="003E4B12"/>
    <w:rsid w:val="003E74BF"/>
    <w:rsid w:val="003F14AB"/>
    <w:rsid w:val="003F2463"/>
    <w:rsid w:val="003F351A"/>
    <w:rsid w:val="003F4429"/>
    <w:rsid w:val="003F7F81"/>
    <w:rsid w:val="00400655"/>
    <w:rsid w:val="004015E3"/>
    <w:rsid w:val="00402E42"/>
    <w:rsid w:val="0040339B"/>
    <w:rsid w:val="00405B93"/>
    <w:rsid w:val="00407ECA"/>
    <w:rsid w:val="0041086F"/>
    <w:rsid w:val="004111E9"/>
    <w:rsid w:val="00411731"/>
    <w:rsid w:val="004126AA"/>
    <w:rsid w:val="00412F0E"/>
    <w:rsid w:val="00413022"/>
    <w:rsid w:val="0041381A"/>
    <w:rsid w:val="00413F2B"/>
    <w:rsid w:val="00414911"/>
    <w:rsid w:val="00416478"/>
    <w:rsid w:val="0042034A"/>
    <w:rsid w:val="004226F4"/>
    <w:rsid w:val="00422E50"/>
    <w:rsid w:val="0042461E"/>
    <w:rsid w:val="004270F7"/>
    <w:rsid w:val="004303AA"/>
    <w:rsid w:val="00431859"/>
    <w:rsid w:val="00431F7B"/>
    <w:rsid w:val="00432033"/>
    <w:rsid w:val="0043272A"/>
    <w:rsid w:val="00433C76"/>
    <w:rsid w:val="00433D6E"/>
    <w:rsid w:val="00434A2F"/>
    <w:rsid w:val="00434A66"/>
    <w:rsid w:val="00434C49"/>
    <w:rsid w:val="00436B60"/>
    <w:rsid w:val="00437404"/>
    <w:rsid w:val="00437CCA"/>
    <w:rsid w:val="0044150C"/>
    <w:rsid w:val="00442310"/>
    <w:rsid w:val="0044264C"/>
    <w:rsid w:val="004444C2"/>
    <w:rsid w:val="00445C68"/>
    <w:rsid w:val="00445F2C"/>
    <w:rsid w:val="004471C8"/>
    <w:rsid w:val="0044770E"/>
    <w:rsid w:val="0045260B"/>
    <w:rsid w:val="00452BA6"/>
    <w:rsid w:val="00453C69"/>
    <w:rsid w:val="004558A1"/>
    <w:rsid w:val="00460312"/>
    <w:rsid w:val="0046058F"/>
    <w:rsid w:val="00461C69"/>
    <w:rsid w:val="00462B85"/>
    <w:rsid w:val="004665ED"/>
    <w:rsid w:val="00466A01"/>
    <w:rsid w:val="0046703E"/>
    <w:rsid w:val="0046708C"/>
    <w:rsid w:val="004675F0"/>
    <w:rsid w:val="00467EAC"/>
    <w:rsid w:val="00470615"/>
    <w:rsid w:val="004718B8"/>
    <w:rsid w:val="004742B8"/>
    <w:rsid w:val="0047436C"/>
    <w:rsid w:val="004760E5"/>
    <w:rsid w:val="00477DE4"/>
    <w:rsid w:val="0048169B"/>
    <w:rsid w:val="00482266"/>
    <w:rsid w:val="00482FC7"/>
    <w:rsid w:val="00483300"/>
    <w:rsid w:val="00484203"/>
    <w:rsid w:val="00484405"/>
    <w:rsid w:val="00484FFA"/>
    <w:rsid w:val="00487933"/>
    <w:rsid w:val="00490C7D"/>
    <w:rsid w:val="004912D0"/>
    <w:rsid w:val="00491CF4"/>
    <w:rsid w:val="00492396"/>
    <w:rsid w:val="004935B2"/>
    <w:rsid w:val="00497303"/>
    <w:rsid w:val="004A2A0F"/>
    <w:rsid w:val="004A3643"/>
    <w:rsid w:val="004A5BA5"/>
    <w:rsid w:val="004A6229"/>
    <w:rsid w:val="004B4699"/>
    <w:rsid w:val="004B4EA8"/>
    <w:rsid w:val="004B5799"/>
    <w:rsid w:val="004B6518"/>
    <w:rsid w:val="004B6EE2"/>
    <w:rsid w:val="004C23A1"/>
    <w:rsid w:val="004C56D8"/>
    <w:rsid w:val="004C6593"/>
    <w:rsid w:val="004C71B8"/>
    <w:rsid w:val="004D4244"/>
    <w:rsid w:val="004D73BD"/>
    <w:rsid w:val="004D73F8"/>
    <w:rsid w:val="004E0720"/>
    <w:rsid w:val="004E106F"/>
    <w:rsid w:val="004E1269"/>
    <w:rsid w:val="004E1D1B"/>
    <w:rsid w:val="004E2DFD"/>
    <w:rsid w:val="004E307C"/>
    <w:rsid w:val="004E3D10"/>
    <w:rsid w:val="004E5F9C"/>
    <w:rsid w:val="004F0B0D"/>
    <w:rsid w:val="004F6CB0"/>
    <w:rsid w:val="004F75C8"/>
    <w:rsid w:val="005011D6"/>
    <w:rsid w:val="00502C76"/>
    <w:rsid w:val="00504FED"/>
    <w:rsid w:val="00505BF3"/>
    <w:rsid w:val="00506645"/>
    <w:rsid w:val="00506C4F"/>
    <w:rsid w:val="0050730B"/>
    <w:rsid w:val="0050759C"/>
    <w:rsid w:val="0051183B"/>
    <w:rsid w:val="00512C83"/>
    <w:rsid w:val="005131E1"/>
    <w:rsid w:val="00517BF7"/>
    <w:rsid w:val="0052213B"/>
    <w:rsid w:val="005228B6"/>
    <w:rsid w:val="00522AAF"/>
    <w:rsid w:val="00522C7A"/>
    <w:rsid w:val="005265EE"/>
    <w:rsid w:val="00526785"/>
    <w:rsid w:val="00526D1C"/>
    <w:rsid w:val="00526EC2"/>
    <w:rsid w:val="00527336"/>
    <w:rsid w:val="005307DA"/>
    <w:rsid w:val="00534C67"/>
    <w:rsid w:val="0053567F"/>
    <w:rsid w:val="0053629E"/>
    <w:rsid w:val="00541E72"/>
    <w:rsid w:val="00542F14"/>
    <w:rsid w:val="005434C1"/>
    <w:rsid w:val="005438C9"/>
    <w:rsid w:val="00543F3B"/>
    <w:rsid w:val="005449F9"/>
    <w:rsid w:val="005525E1"/>
    <w:rsid w:val="00553718"/>
    <w:rsid w:val="005538BE"/>
    <w:rsid w:val="005540EA"/>
    <w:rsid w:val="0055506C"/>
    <w:rsid w:val="005566A8"/>
    <w:rsid w:val="00556F8A"/>
    <w:rsid w:val="005573FB"/>
    <w:rsid w:val="00560A8F"/>
    <w:rsid w:val="00560E38"/>
    <w:rsid w:val="0056207E"/>
    <w:rsid w:val="0056248D"/>
    <w:rsid w:val="00563A06"/>
    <w:rsid w:val="005642F2"/>
    <w:rsid w:val="00565677"/>
    <w:rsid w:val="00566ACB"/>
    <w:rsid w:val="00566AE1"/>
    <w:rsid w:val="00567D2C"/>
    <w:rsid w:val="00573075"/>
    <w:rsid w:val="00573255"/>
    <w:rsid w:val="00573EE6"/>
    <w:rsid w:val="00574747"/>
    <w:rsid w:val="00576428"/>
    <w:rsid w:val="0058053F"/>
    <w:rsid w:val="005809CA"/>
    <w:rsid w:val="00582A17"/>
    <w:rsid w:val="00583960"/>
    <w:rsid w:val="0058448A"/>
    <w:rsid w:val="00585427"/>
    <w:rsid w:val="00585806"/>
    <w:rsid w:val="00586023"/>
    <w:rsid w:val="00592052"/>
    <w:rsid w:val="00593ECF"/>
    <w:rsid w:val="005947CB"/>
    <w:rsid w:val="00594CF7"/>
    <w:rsid w:val="0059566C"/>
    <w:rsid w:val="00595FBA"/>
    <w:rsid w:val="005960CA"/>
    <w:rsid w:val="005961E2"/>
    <w:rsid w:val="00596539"/>
    <w:rsid w:val="005A3783"/>
    <w:rsid w:val="005A5AC8"/>
    <w:rsid w:val="005A62D5"/>
    <w:rsid w:val="005B0F78"/>
    <w:rsid w:val="005B2923"/>
    <w:rsid w:val="005B36D9"/>
    <w:rsid w:val="005B3830"/>
    <w:rsid w:val="005B4841"/>
    <w:rsid w:val="005C0D7C"/>
    <w:rsid w:val="005C175C"/>
    <w:rsid w:val="005C2DB2"/>
    <w:rsid w:val="005C3944"/>
    <w:rsid w:val="005C5C38"/>
    <w:rsid w:val="005C740B"/>
    <w:rsid w:val="005D0228"/>
    <w:rsid w:val="005D1035"/>
    <w:rsid w:val="005D143E"/>
    <w:rsid w:val="005D1F3B"/>
    <w:rsid w:val="005D3191"/>
    <w:rsid w:val="005D4ABE"/>
    <w:rsid w:val="005D54DF"/>
    <w:rsid w:val="005D6A67"/>
    <w:rsid w:val="005D7D85"/>
    <w:rsid w:val="005E0C1D"/>
    <w:rsid w:val="005E0E77"/>
    <w:rsid w:val="005E2AA4"/>
    <w:rsid w:val="005E2FFC"/>
    <w:rsid w:val="005E629E"/>
    <w:rsid w:val="005E6550"/>
    <w:rsid w:val="005E7100"/>
    <w:rsid w:val="005F1934"/>
    <w:rsid w:val="005F1FE5"/>
    <w:rsid w:val="005F2811"/>
    <w:rsid w:val="005F2EE3"/>
    <w:rsid w:val="005F3426"/>
    <w:rsid w:val="005F45D7"/>
    <w:rsid w:val="005F67ED"/>
    <w:rsid w:val="005F6859"/>
    <w:rsid w:val="00602C92"/>
    <w:rsid w:val="00605352"/>
    <w:rsid w:val="0060556A"/>
    <w:rsid w:val="006076E4"/>
    <w:rsid w:val="00611C15"/>
    <w:rsid w:val="00613843"/>
    <w:rsid w:val="00614557"/>
    <w:rsid w:val="00614B78"/>
    <w:rsid w:val="00615BF1"/>
    <w:rsid w:val="00620E63"/>
    <w:rsid w:val="00621A09"/>
    <w:rsid w:val="00621D2D"/>
    <w:rsid w:val="006227B6"/>
    <w:rsid w:val="00623491"/>
    <w:rsid w:val="00623BB2"/>
    <w:rsid w:val="00624195"/>
    <w:rsid w:val="006271D4"/>
    <w:rsid w:val="00627A67"/>
    <w:rsid w:val="006313CC"/>
    <w:rsid w:val="00632D4B"/>
    <w:rsid w:val="00633556"/>
    <w:rsid w:val="0063538E"/>
    <w:rsid w:val="0063593F"/>
    <w:rsid w:val="00635F81"/>
    <w:rsid w:val="00636436"/>
    <w:rsid w:val="0063666E"/>
    <w:rsid w:val="00637A73"/>
    <w:rsid w:val="006415DA"/>
    <w:rsid w:val="006439B9"/>
    <w:rsid w:val="00647FAE"/>
    <w:rsid w:val="00650549"/>
    <w:rsid w:val="0065152F"/>
    <w:rsid w:val="00652119"/>
    <w:rsid w:val="00653B9C"/>
    <w:rsid w:val="00653D18"/>
    <w:rsid w:val="00654AAD"/>
    <w:rsid w:val="00656765"/>
    <w:rsid w:val="00660C78"/>
    <w:rsid w:val="00661435"/>
    <w:rsid w:val="006614A8"/>
    <w:rsid w:val="00665C9C"/>
    <w:rsid w:val="00667FA8"/>
    <w:rsid w:val="00670602"/>
    <w:rsid w:val="0067246A"/>
    <w:rsid w:val="006735C7"/>
    <w:rsid w:val="0067363B"/>
    <w:rsid w:val="0067760C"/>
    <w:rsid w:val="00681D21"/>
    <w:rsid w:val="006820A5"/>
    <w:rsid w:val="006869B8"/>
    <w:rsid w:val="00687044"/>
    <w:rsid w:val="00694FD2"/>
    <w:rsid w:val="00695EBB"/>
    <w:rsid w:val="00697516"/>
    <w:rsid w:val="006A160E"/>
    <w:rsid w:val="006A1CC3"/>
    <w:rsid w:val="006A317E"/>
    <w:rsid w:val="006A69B9"/>
    <w:rsid w:val="006A6C34"/>
    <w:rsid w:val="006A7C30"/>
    <w:rsid w:val="006B00E1"/>
    <w:rsid w:val="006B3592"/>
    <w:rsid w:val="006B5059"/>
    <w:rsid w:val="006B62EE"/>
    <w:rsid w:val="006C0C84"/>
    <w:rsid w:val="006C1BEF"/>
    <w:rsid w:val="006C1CFF"/>
    <w:rsid w:val="006C2852"/>
    <w:rsid w:val="006C4BDB"/>
    <w:rsid w:val="006C7D58"/>
    <w:rsid w:val="006D3F60"/>
    <w:rsid w:val="006D6002"/>
    <w:rsid w:val="006D669B"/>
    <w:rsid w:val="006E0114"/>
    <w:rsid w:val="006E0F9C"/>
    <w:rsid w:val="006E1DA9"/>
    <w:rsid w:val="006E28F5"/>
    <w:rsid w:val="006E2EE1"/>
    <w:rsid w:val="006E4920"/>
    <w:rsid w:val="006E6BBC"/>
    <w:rsid w:val="006E716E"/>
    <w:rsid w:val="006E7A96"/>
    <w:rsid w:val="006F4125"/>
    <w:rsid w:val="006F48BB"/>
    <w:rsid w:val="006F543A"/>
    <w:rsid w:val="006F57BF"/>
    <w:rsid w:val="006F5CFA"/>
    <w:rsid w:val="006F7795"/>
    <w:rsid w:val="00700B34"/>
    <w:rsid w:val="00702D0D"/>
    <w:rsid w:val="007036EE"/>
    <w:rsid w:val="00706764"/>
    <w:rsid w:val="007102B0"/>
    <w:rsid w:val="00710869"/>
    <w:rsid w:val="007121E8"/>
    <w:rsid w:val="0071363D"/>
    <w:rsid w:val="00714925"/>
    <w:rsid w:val="00717C14"/>
    <w:rsid w:val="007208DA"/>
    <w:rsid w:val="007223B0"/>
    <w:rsid w:val="00723B30"/>
    <w:rsid w:val="00724A2B"/>
    <w:rsid w:val="00725E2B"/>
    <w:rsid w:val="007279E2"/>
    <w:rsid w:val="00730136"/>
    <w:rsid w:val="007306CD"/>
    <w:rsid w:val="00730A61"/>
    <w:rsid w:val="007319BE"/>
    <w:rsid w:val="0073234D"/>
    <w:rsid w:val="007342F9"/>
    <w:rsid w:val="00734A70"/>
    <w:rsid w:val="00735215"/>
    <w:rsid w:val="0073532B"/>
    <w:rsid w:val="00736300"/>
    <w:rsid w:val="007375F7"/>
    <w:rsid w:val="007414E9"/>
    <w:rsid w:val="00742645"/>
    <w:rsid w:val="00742E52"/>
    <w:rsid w:val="00746F2F"/>
    <w:rsid w:val="00747049"/>
    <w:rsid w:val="0075040F"/>
    <w:rsid w:val="00750576"/>
    <w:rsid w:val="00751F09"/>
    <w:rsid w:val="00755644"/>
    <w:rsid w:val="00756F12"/>
    <w:rsid w:val="0075740D"/>
    <w:rsid w:val="0075789A"/>
    <w:rsid w:val="007578B4"/>
    <w:rsid w:val="00757BDA"/>
    <w:rsid w:val="00762156"/>
    <w:rsid w:val="007628FC"/>
    <w:rsid w:val="00764240"/>
    <w:rsid w:val="00767C5E"/>
    <w:rsid w:val="00770171"/>
    <w:rsid w:val="0077453D"/>
    <w:rsid w:val="007748BF"/>
    <w:rsid w:val="00775F41"/>
    <w:rsid w:val="00776AA4"/>
    <w:rsid w:val="00777549"/>
    <w:rsid w:val="007805B5"/>
    <w:rsid w:val="00780D64"/>
    <w:rsid w:val="00782018"/>
    <w:rsid w:val="00784301"/>
    <w:rsid w:val="00785F88"/>
    <w:rsid w:val="007867FB"/>
    <w:rsid w:val="007902CE"/>
    <w:rsid w:val="007934A3"/>
    <w:rsid w:val="00794FC8"/>
    <w:rsid w:val="00796AF3"/>
    <w:rsid w:val="00796D95"/>
    <w:rsid w:val="007976CC"/>
    <w:rsid w:val="007A0C8E"/>
    <w:rsid w:val="007A1428"/>
    <w:rsid w:val="007A1648"/>
    <w:rsid w:val="007A1B8F"/>
    <w:rsid w:val="007A3AD5"/>
    <w:rsid w:val="007A45BF"/>
    <w:rsid w:val="007A49AC"/>
    <w:rsid w:val="007A4CA2"/>
    <w:rsid w:val="007A54AD"/>
    <w:rsid w:val="007A5E39"/>
    <w:rsid w:val="007A6918"/>
    <w:rsid w:val="007B486C"/>
    <w:rsid w:val="007B526A"/>
    <w:rsid w:val="007B6E7A"/>
    <w:rsid w:val="007C07A0"/>
    <w:rsid w:val="007C2750"/>
    <w:rsid w:val="007C3798"/>
    <w:rsid w:val="007C476E"/>
    <w:rsid w:val="007C4C91"/>
    <w:rsid w:val="007C4ED9"/>
    <w:rsid w:val="007C5421"/>
    <w:rsid w:val="007C674A"/>
    <w:rsid w:val="007C6C68"/>
    <w:rsid w:val="007C72B6"/>
    <w:rsid w:val="007D003E"/>
    <w:rsid w:val="007D0F70"/>
    <w:rsid w:val="007D1253"/>
    <w:rsid w:val="007D191D"/>
    <w:rsid w:val="007D5D02"/>
    <w:rsid w:val="007D625D"/>
    <w:rsid w:val="007D7156"/>
    <w:rsid w:val="007D7302"/>
    <w:rsid w:val="007E686E"/>
    <w:rsid w:val="007E7409"/>
    <w:rsid w:val="007F1AB3"/>
    <w:rsid w:val="007F5696"/>
    <w:rsid w:val="007F6985"/>
    <w:rsid w:val="007F6C61"/>
    <w:rsid w:val="008018DF"/>
    <w:rsid w:val="00801F08"/>
    <w:rsid w:val="00802396"/>
    <w:rsid w:val="00803340"/>
    <w:rsid w:val="00803344"/>
    <w:rsid w:val="008072F4"/>
    <w:rsid w:val="00807875"/>
    <w:rsid w:val="00811D43"/>
    <w:rsid w:val="00811EC6"/>
    <w:rsid w:val="008135E0"/>
    <w:rsid w:val="00813CDA"/>
    <w:rsid w:val="00813D3D"/>
    <w:rsid w:val="00816C55"/>
    <w:rsid w:val="00816D16"/>
    <w:rsid w:val="00817F49"/>
    <w:rsid w:val="00821D72"/>
    <w:rsid w:val="00821E1C"/>
    <w:rsid w:val="00821EE0"/>
    <w:rsid w:val="00822068"/>
    <w:rsid w:val="00822DBB"/>
    <w:rsid w:val="00822EC4"/>
    <w:rsid w:val="00823928"/>
    <w:rsid w:val="00823F5C"/>
    <w:rsid w:val="00825331"/>
    <w:rsid w:val="00826D95"/>
    <w:rsid w:val="008310EC"/>
    <w:rsid w:val="00831D68"/>
    <w:rsid w:val="00832BA8"/>
    <w:rsid w:val="00833400"/>
    <w:rsid w:val="00833C9A"/>
    <w:rsid w:val="00835346"/>
    <w:rsid w:val="008379FC"/>
    <w:rsid w:val="00840D31"/>
    <w:rsid w:val="00841176"/>
    <w:rsid w:val="0084140D"/>
    <w:rsid w:val="00841C19"/>
    <w:rsid w:val="00841CB0"/>
    <w:rsid w:val="00842F03"/>
    <w:rsid w:val="00844BED"/>
    <w:rsid w:val="00846D6C"/>
    <w:rsid w:val="00846FCE"/>
    <w:rsid w:val="00850038"/>
    <w:rsid w:val="00856775"/>
    <w:rsid w:val="00857BBD"/>
    <w:rsid w:val="00857F82"/>
    <w:rsid w:val="008602BC"/>
    <w:rsid w:val="00860CE6"/>
    <w:rsid w:val="00860D8C"/>
    <w:rsid w:val="008611C3"/>
    <w:rsid w:val="00865081"/>
    <w:rsid w:val="008673DA"/>
    <w:rsid w:val="00871895"/>
    <w:rsid w:val="00871D17"/>
    <w:rsid w:val="008734E3"/>
    <w:rsid w:val="00873550"/>
    <w:rsid w:val="008743AE"/>
    <w:rsid w:val="00875919"/>
    <w:rsid w:val="0088023D"/>
    <w:rsid w:val="008808B8"/>
    <w:rsid w:val="00883772"/>
    <w:rsid w:val="00883936"/>
    <w:rsid w:val="008855B0"/>
    <w:rsid w:val="00885E7F"/>
    <w:rsid w:val="0088639D"/>
    <w:rsid w:val="008874F2"/>
    <w:rsid w:val="00891E8A"/>
    <w:rsid w:val="00896623"/>
    <w:rsid w:val="00896A4A"/>
    <w:rsid w:val="00896FBF"/>
    <w:rsid w:val="008A0B0D"/>
    <w:rsid w:val="008A32C8"/>
    <w:rsid w:val="008A6B80"/>
    <w:rsid w:val="008A7BB4"/>
    <w:rsid w:val="008B23F1"/>
    <w:rsid w:val="008B4111"/>
    <w:rsid w:val="008B59C9"/>
    <w:rsid w:val="008B60E8"/>
    <w:rsid w:val="008B7947"/>
    <w:rsid w:val="008C1F9B"/>
    <w:rsid w:val="008C22A6"/>
    <w:rsid w:val="008C25E6"/>
    <w:rsid w:val="008C27CB"/>
    <w:rsid w:val="008C2B15"/>
    <w:rsid w:val="008C498C"/>
    <w:rsid w:val="008C5431"/>
    <w:rsid w:val="008C5593"/>
    <w:rsid w:val="008C5A04"/>
    <w:rsid w:val="008C5F51"/>
    <w:rsid w:val="008C6AD1"/>
    <w:rsid w:val="008D0B29"/>
    <w:rsid w:val="008D0D19"/>
    <w:rsid w:val="008D4C63"/>
    <w:rsid w:val="008D5806"/>
    <w:rsid w:val="008E1367"/>
    <w:rsid w:val="008E298B"/>
    <w:rsid w:val="008E3175"/>
    <w:rsid w:val="008E36F3"/>
    <w:rsid w:val="008E3BD9"/>
    <w:rsid w:val="008E4E66"/>
    <w:rsid w:val="008E574F"/>
    <w:rsid w:val="008E62A5"/>
    <w:rsid w:val="008F40BD"/>
    <w:rsid w:val="008F48F9"/>
    <w:rsid w:val="008F5B72"/>
    <w:rsid w:val="008F5CD3"/>
    <w:rsid w:val="008F6348"/>
    <w:rsid w:val="008F6421"/>
    <w:rsid w:val="008F649E"/>
    <w:rsid w:val="0090162C"/>
    <w:rsid w:val="00901A1B"/>
    <w:rsid w:val="00901A5F"/>
    <w:rsid w:val="00902223"/>
    <w:rsid w:val="0090281C"/>
    <w:rsid w:val="0090542A"/>
    <w:rsid w:val="00906CA9"/>
    <w:rsid w:val="0090788B"/>
    <w:rsid w:val="009129AD"/>
    <w:rsid w:val="00915145"/>
    <w:rsid w:val="00916022"/>
    <w:rsid w:val="00916C19"/>
    <w:rsid w:val="00916F57"/>
    <w:rsid w:val="00920171"/>
    <w:rsid w:val="00920719"/>
    <w:rsid w:val="00920D49"/>
    <w:rsid w:val="00923413"/>
    <w:rsid w:val="009250EB"/>
    <w:rsid w:val="00926647"/>
    <w:rsid w:val="009273DD"/>
    <w:rsid w:val="00930595"/>
    <w:rsid w:val="00930628"/>
    <w:rsid w:val="0093076E"/>
    <w:rsid w:val="00932B24"/>
    <w:rsid w:val="00932FBB"/>
    <w:rsid w:val="00933809"/>
    <w:rsid w:val="00933E34"/>
    <w:rsid w:val="00934240"/>
    <w:rsid w:val="009363F3"/>
    <w:rsid w:val="009369C1"/>
    <w:rsid w:val="00937325"/>
    <w:rsid w:val="00937515"/>
    <w:rsid w:val="00937ADA"/>
    <w:rsid w:val="0094295D"/>
    <w:rsid w:val="009436E9"/>
    <w:rsid w:val="00944B00"/>
    <w:rsid w:val="009457A0"/>
    <w:rsid w:val="0094585C"/>
    <w:rsid w:val="009463C3"/>
    <w:rsid w:val="00951BD6"/>
    <w:rsid w:val="00951FCB"/>
    <w:rsid w:val="009542AE"/>
    <w:rsid w:val="00956813"/>
    <w:rsid w:val="00960564"/>
    <w:rsid w:val="00960E57"/>
    <w:rsid w:val="00961CDC"/>
    <w:rsid w:val="0096585B"/>
    <w:rsid w:val="00966BDA"/>
    <w:rsid w:val="00967029"/>
    <w:rsid w:val="00971769"/>
    <w:rsid w:val="00973E04"/>
    <w:rsid w:val="00973F5F"/>
    <w:rsid w:val="00974ECE"/>
    <w:rsid w:val="00975726"/>
    <w:rsid w:val="00977743"/>
    <w:rsid w:val="0098016C"/>
    <w:rsid w:val="009808F1"/>
    <w:rsid w:val="00981228"/>
    <w:rsid w:val="00981654"/>
    <w:rsid w:val="00984162"/>
    <w:rsid w:val="00985979"/>
    <w:rsid w:val="00986DF5"/>
    <w:rsid w:val="00987F12"/>
    <w:rsid w:val="00990200"/>
    <w:rsid w:val="0099079E"/>
    <w:rsid w:val="009919CD"/>
    <w:rsid w:val="00991FDD"/>
    <w:rsid w:val="00993423"/>
    <w:rsid w:val="0099699A"/>
    <w:rsid w:val="009979EA"/>
    <w:rsid w:val="00997F6C"/>
    <w:rsid w:val="009A0EF0"/>
    <w:rsid w:val="009A2AF2"/>
    <w:rsid w:val="009A50A3"/>
    <w:rsid w:val="009A5A9A"/>
    <w:rsid w:val="009A72C7"/>
    <w:rsid w:val="009A7A08"/>
    <w:rsid w:val="009B0996"/>
    <w:rsid w:val="009B0FD1"/>
    <w:rsid w:val="009B5B1D"/>
    <w:rsid w:val="009B6879"/>
    <w:rsid w:val="009B751F"/>
    <w:rsid w:val="009C1CFD"/>
    <w:rsid w:val="009C4410"/>
    <w:rsid w:val="009C4966"/>
    <w:rsid w:val="009C4FCC"/>
    <w:rsid w:val="009C54C7"/>
    <w:rsid w:val="009C5C41"/>
    <w:rsid w:val="009C5E96"/>
    <w:rsid w:val="009D5821"/>
    <w:rsid w:val="009D7B90"/>
    <w:rsid w:val="009D7BB6"/>
    <w:rsid w:val="009E12F6"/>
    <w:rsid w:val="009E1510"/>
    <w:rsid w:val="009E35A1"/>
    <w:rsid w:val="009E388A"/>
    <w:rsid w:val="009F0CF4"/>
    <w:rsid w:val="009F0F4D"/>
    <w:rsid w:val="009F1EFD"/>
    <w:rsid w:val="009F23B6"/>
    <w:rsid w:val="009F37F4"/>
    <w:rsid w:val="009F3CA7"/>
    <w:rsid w:val="009F59D8"/>
    <w:rsid w:val="009F6496"/>
    <w:rsid w:val="009F66E0"/>
    <w:rsid w:val="009F6918"/>
    <w:rsid w:val="009F69DA"/>
    <w:rsid w:val="009F6F97"/>
    <w:rsid w:val="00A01923"/>
    <w:rsid w:val="00A04B26"/>
    <w:rsid w:val="00A05432"/>
    <w:rsid w:val="00A062D6"/>
    <w:rsid w:val="00A06827"/>
    <w:rsid w:val="00A0719A"/>
    <w:rsid w:val="00A11961"/>
    <w:rsid w:val="00A12780"/>
    <w:rsid w:val="00A12840"/>
    <w:rsid w:val="00A1325A"/>
    <w:rsid w:val="00A14EDD"/>
    <w:rsid w:val="00A15F12"/>
    <w:rsid w:val="00A15FE8"/>
    <w:rsid w:val="00A165C3"/>
    <w:rsid w:val="00A166F5"/>
    <w:rsid w:val="00A169F5"/>
    <w:rsid w:val="00A1777F"/>
    <w:rsid w:val="00A2009E"/>
    <w:rsid w:val="00A21475"/>
    <w:rsid w:val="00A250EF"/>
    <w:rsid w:val="00A25A7D"/>
    <w:rsid w:val="00A25AAA"/>
    <w:rsid w:val="00A26D49"/>
    <w:rsid w:val="00A3281F"/>
    <w:rsid w:val="00A34391"/>
    <w:rsid w:val="00A37B4D"/>
    <w:rsid w:val="00A37C74"/>
    <w:rsid w:val="00A408D8"/>
    <w:rsid w:val="00A41339"/>
    <w:rsid w:val="00A42EF8"/>
    <w:rsid w:val="00A45D77"/>
    <w:rsid w:val="00A4613C"/>
    <w:rsid w:val="00A46FF9"/>
    <w:rsid w:val="00A4760C"/>
    <w:rsid w:val="00A47633"/>
    <w:rsid w:val="00A50A36"/>
    <w:rsid w:val="00A51E16"/>
    <w:rsid w:val="00A52567"/>
    <w:rsid w:val="00A53240"/>
    <w:rsid w:val="00A53BF6"/>
    <w:rsid w:val="00A545F8"/>
    <w:rsid w:val="00A55229"/>
    <w:rsid w:val="00A56B44"/>
    <w:rsid w:val="00A57A1E"/>
    <w:rsid w:val="00A61575"/>
    <w:rsid w:val="00A61A96"/>
    <w:rsid w:val="00A64F3E"/>
    <w:rsid w:val="00A6636E"/>
    <w:rsid w:val="00A6708B"/>
    <w:rsid w:val="00A719DA"/>
    <w:rsid w:val="00A7477A"/>
    <w:rsid w:val="00A750EC"/>
    <w:rsid w:val="00A755D4"/>
    <w:rsid w:val="00A76A2C"/>
    <w:rsid w:val="00A77148"/>
    <w:rsid w:val="00A8157D"/>
    <w:rsid w:val="00A81CE7"/>
    <w:rsid w:val="00A83162"/>
    <w:rsid w:val="00A83AAE"/>
    <w:rsid w:val="00A84CC5"/>
    <w:rsid w:val="00A85BA1"/>
    <w:rsid w:val="00A86ECF"/>
    <w:rsid w:val="00A8749E"/>
    <w:rsid w:val="00A90600"/>
    <w:rsid w:val="00A927F0"/>
    <w:rsid w:val="00A9380B"/>
    <w:rsid w:val="00A94126"/>
    <w:rsid w:val="00A94B04"/>
    <w:rsid w:val="00A94B8F"/>
    <w:rsid w:val="00A95F7C"/>
    <w:rsid w:val="00A96302"/>
    <w:rsid w:val="00A966B8"/>
    <w:rsid w:val="00A96FD1"/>
    <w:rsid w:val="00A97D5B"/>
    <w:rsid w:val="00AA164C"/>
    <w:rsid w:val="00AB0604"/>
    <w:rsid w:val="00AB09A1"/>
    <w:rsid w:val="00AB1713"/>
    <w:rsid w:val="00AB1E29"/>
    <w:rsid w:val="00AB2911"/>
    <w:rsid w:val="00AB2AED"/>
    <w:rsid w:val="00AB33A1"/>
    <w:rsid w:val="00AB3918"/>
    <w:rsid w:val="00AB41BF"/>
    <w:rsid w:val="00AB49B9"/>
    <w:rsid w:val="00AC0B5B"/>
    <w:rsid w:val="00AC15B8"/>
    <w:rsid w:val="00AC1D9C"/>
    <w:rsid w:val="00AC1FC8"/>
    <w:rsid w:val="00AC59F7"/>
    <w:rsid w:val="00AC7A4C"/>
    <w:rsid w:val="00AD0786"/>
    <w:rsid w:val="00AD2A04"/>
    <w:rsid w:val="00AD2B3F"/>
    <w:rsid w:val="00AD2E98"/>
    <w:rsid w:val="00AD2E9D"/>
    <w:rsid w:val="00AD3FBB"/>
    <w:rsid w:val="00AD4FB9"/>
    <w:rsid w:val="00AE309E"/>
    <w:rsid w:val="00AE3846"/>
    <w:rsid w:val="00AE43BF"/>
    <w:rsid w:val="00AE4AEB"/>
    <w:rsid w:val="00AE4FA3"/>
    <w:rsid w:val="00AE68C5"/>
    <w:rsid w:val="00AE789F"/>
    <w:rsid w:val="00AF2FBE"/>
    <w:rsid w:val="00AF344D"/>
    <w:rsid w:val="00AF392F"/>
    <w:rsid w:val="00AF462E"/>
    <w:rsid w:val="00AF7474"/>
    <w:rsid w:val="00AF77C4"/>
    <w:rsid w:val="00B013F9"/>
    <w:rsid w:val="00B02E18"/>
    <w:rsid w:val="00B034F4"/>
    <w:rsid w:val="00B03A13"/>
    <w:rsid w:val="00B10898"/>
    <w:rsid w:val="00B13271"/>
    <w:rsid w:val="00B1354E"/>
    <w:rsid w:val="00B149B2"/>
    <w:rsid w:val="00B151E5"/>
    <w:rsid w:val="00B16FD3"/>
    <w:rsid w:val="00B209CE"/>
    <w:rsid w:val="00B20F48"/>
    <w:rsid w:val="00B21602"/>
    <w:rsid w:val="00B21BBE"/>
    <w:rsid w:val="00B226DE"/>
    <w:rsid w:val="00B24710"/>
    <w:rsid w:val="00B26FD0"/>
    <w:rsid w:val="00B277CA"/>
    <w:rsid w:val="00B27EFC"/>
    <w:rsid w:val="00B3140E"/>
    <w:rsid w:val="00B317F2"/>
    <w:rsid w:val="00B34E4D"/>
    <w:rsid w:val="00B35718"/>
    <w:rsid w:val="00B36806"/>
    <w:rsid w:val="00B37916"/>
    <w:rsid w:val="00B37E2B"/>
    <w:rsid w:val="00B40490"/>
    <w:rsid w:val="00B43110"/>
    <w:rsid w:val="00B4490A"/>
    <w:rsid w:val="00B45231"/>
    <w:rsid w:val="00B45DC1"/>
    <w:rsid w:val="00B4638D"/>
    <w:rsid w:val="00B526AB"/>
    <w:rsid w:val="00B53FBB"/>
    <w:rsid w:val="00B54945"/>
    <w:rsid w:val="00B57240"/>
    <w:rsid w:val="00B61F83"/>
    <w:rsid w:val="00B65083"/>
    <w:rsid w:val="00B66576"/>
    <w:rsid w:val="00B70B4B"/>
    <w:rsid w:val="00B70E7D"/>
    <w:rsid w:val="00B70FC3"/>
    <w:rsid w:val="00B71264"/>
    <w:rsid w:val="00B72B7A"/>
    <w:rsid w:val="00B74B0B"/>
    <w:rsid w:val="00B75CED"/>
    <w:rsid w:val="00B767FC"/>
    <w:rsid w:val="00B773A7"/>
    <w:rsid w:val="00B77BF0"/>
    <w:rsid w:val="00B81ED5"/>
    <w:rsid w:val="00B81F47"/>
    <w:rsid w:val="00B82BA9"/>
    <w:rsid w:val="00B82F24"/>
    <w:rsid w:val="00B84892"/>
    <w:rsid w:val="00B85AA2"/>
    <w:rsid w:val="00B85BDE"/>
    <w:rsid w:val="00B868AB"/>
    <w:rsid w:val="00B87A69"/>
    <w:rsid w:val="00B924A8"/>
    <w:rsid w:val="00B94F1A"/>
    <w:rsid w:val="00B95A78"/>
    <w:rsid w:val="00B95F3F"/>
    <w:rsid w:val="00B96D3A"/>
    <w:rsid w:val="00B976C1"/>
    <w:rsid w:val="00B97FCF"/>
    <w:rsid w:val="00BA0494"/>
    <w:rsid w:val="00BA121E"/>
    <w:rsid w:val="00BA20FC"/>
    <w:rsid w:val="00BA276D"/>
    <w:rsid w:val="00BA3D65"/>
    <w:rsid w:val="00BA498F"/>
    <w:rsid w:val="00BA6387"/>
    <w:rsid w:val="00BA7A3E"/>
    <w:rsid w:val="00BB0D97"/>
    <w:rsid w:val="00BB2CF0"/>
    <w:rsid w:val="00BB5372"/>
    <w:rsid w:val="00BB6931"/>
    <w:rsid w:val="00BB6C35"/>
    <w:rsid w:val="00BB742E"/>
    <w:rsid w:val="00BC20EE"/>
    <w:rsid w:val="00BC3C5A"/>
    <w:rsid w:val="00BC5E93"/>
    <w:rsid w:val="00BC6D8D"/>
    <w:rsid w:val="00BC752E"/>
    <w:rsid w:val="00BC7644"/>
    <w:rsid w:val="00BD2267"/>
    <w:rsid w:val="00BD22DA"/>
    <w:rsid w:val="00BD2C7B"/>
    <w:rsid w:val="00BD4ED7"/>
    <w:rsid w:val="00BD53EC"/>
    <w:rsid w:val="00BD70F7"/>
    <w:rsid w:val="00BD7258"/>
    <w:rsid w:val="00BE0824"/>
    <w:rsid w:val="00BE1CA0"/>
    <w:rsid w:val="00BE7F9C"/>
    <w:rsid w:val="00BF003A"/>
    <w:rsid w:val="00BF1459"/>
    <w:rsid w:val="00BF2B76"/>
    <w:rsid w:val="00BF2D61"/>
    <w:rsid w:val="00BF3B54"/>
    <w:rsid w:val="00BF54F9"/>
    <w:rsid w:val="00BF5757"/>
    <w:rsid w:val="00BF688B"/>
    <w:rsid w:val="00BF7696"/>
    <w:rsid w:val="00BF7A19"/>
    <w:rsid w:val="00BF7D31"/>
    <w:rsid w:val="00BF7D82"/>
    <w:rsid w:val="00C00DEA"/>
    <w:rsid w:val="00C014C5"/>
    <w:rsid w:val="00C026EC"/>
    <w:rsid w:val="00C02A97"/>
    <w:rsid w:val="00C04291"/>
    <w:rsid w:val="00C043AD"/>
    <w:rsid w:val="00C04A20"/>
    <w:rsid w:val="00C06385"/>
    <w:rsid w:val="00C06F48"/>
    <w:rsid w:val="00C11578"/>
    <w:rsid w:val="00C138B0"/>
    <w:rsid w:val="00C13906"/>
    <w:rsid w:val="00C14C8F"/>
    <w:rsid w:val="00C1513C"/>
    <w:rsid w:val="00C1776A"/>
    <w:rsid w:val="00C201D9"/>
    <w:rsid w:val="00C204FA"/>
    <w:rsid w:val="00C2179C"/>
    <w:rsid w:val="00C21F81"/>
    <w:rsid w:val="00C222B8"/>
    <w:rsid w:val="00C248D2"/>
    <w:rsid w:val="00C25808"/>
    <w:rsid w:val="00C307BF"/>
    <w:rsid w:val="00C30CFD"/>
    <w:rsid w:val="00C32872"/>
    <w:rsid w:val="00C331A6"/>
    <w:rsid w:val="00C36122"/>
    <w:rsid w:val="00C363DD"/>
    <w:rsid w:val="00C45D6D"/>
    <w:rsid w:val="00C46C1F"/>
    <w:rsid w:val="00C47DBE"/>
    <w:rsid w:val="00C518EF"/>
    <w:rsid w:val="00C51C26"/>
    <w:rsid w:val="00C5200A"/>
    <w:rsid w:val="00C540CE"/>
    <w:rsid w:val="00C54728"/>
    <w:rsid w:val="00C6031A"/>
    <w:rsid w:val="00C61D2C"/>
    <w:rsid w:val="00C62816"/>
    <w:rsid w:val="00C62D09"/>
    <w:rsid w:val="00C62DF2"/>
    <w:rsid w:val="00C62FBB"/>
    <w:rsid w:val="00C6447A"/>
    <w:rsid w:val="00C66F1F"/>
    <w:rsid w:val="00C7087E"/>
    <w:rsid w:val="00C72A16"/>
    <w:rsid w:val="00C72ABC"/>
    <w:rsid w:val="00C73F17"/>
    <w:rsid w:val="00C76ABF"/>
    <w:rsid w:val="00C81ACD"/>
    <w:rsid w:val="00C82DB2"/>
    <w:rsid w:val="00C8301F"/>
    <w:rsid w:val="00C8376C"/>
    <w:rsid w:val="00C837C1"/>
    <w:rsid w:val="00C84719"/>
    <w:rsid w:val="00C84817"/>
    <w:rsid w:val="00C84C9E"/>
    <w:rsid w:val="00C8551A"/>
    <w:rsid w:val="00C85A7A"/>
    <w:rsid w:val="00C8778F"/>
    <w:rsid w:val="00C94579"/>
    <w:rsid w:val="00C945FC"/>
    <w:rsid w:val="00C96946"/>
    <w:rsid w:val="00CA0CF2"/>
    <w:rsid w:val="00CA1E1E"/>
    <w:rsid w:val="00CA2C6F"/>
    <w:rsid w:val="00CA41A5"/>
    <w:rsid w:val="00CA4935"/>
    <w:rsid w:val="00CB03A3"/>
    <w:rsid w:val="00CB2680"/>
    <w:rsid w:val="00CB3005"/>
    <w:rsid w:val="00CB454F"/>
    <w:rsid w:val="00CB4C06"/>
    <w:rsid w:val="00CB5D3D"/>
    <w:rsid w:val="00CB6DC0"/>
    <w:rsid w:val="00CB71FC"/>
    <w:rsid w:val="00CB77AC"/>
    <w:rsid w:val="00CB7ED0"/>
    <w:rsid w:val="00CB7ED7"/>
    <w:rsid w:val="00CC1965"/>
    <w:rsid w:val="00CC363E"/>
    <w:rsid w:val="00CC441B"/>
    <w:rsid w:val="00CC4A13"/>
    <w:rsid w:val="00CC7875"/>
    <w:rsid w:val="00CD24B6"/>
    <w:rsid w:val="00CD2ABF"/>
    <w:rsid w:val="00CD2C49"/>
    <w:rsid w:val="00CD3167"/>
    <w:rsid w:val="00CD3377"/>
    <w:rsid w:val="00CD38BF"/>
    <w:rsid w:val="00CD44A9"/>
    <w:rsid w:val="00CD4EE5"/>
    <w:rsid w:val="00CD53B9"/>
    <w:rsid w:val="00CE09B4"/>
    <w:rsid w:val="00CE0CED"/>
    <w:rsid w:val="00CE1249"/>
    <w:rsid w:val="00CE330B"/>
    <w:rsid w:val="00CE4487"/>
    <w:rsid w:val="00CE4997"/>
    <w:rsid w:val="00CE4DDD"/>
    <w:rsid w:val="00CE6F23"/>
    <w:rsid w:val="00CE7174"/>
    <w:rsid w:val="00CE7995"/>
    <w:rsid w:val="00CF193B"/>
    <w:rsid w:val="00CF1A7B"/>
    <w:rsid w:val="00CF1EF8"/>
    <w:rsid w:val="00CF5778"/>
    <w:rsid w:val="00CF68ED"/>
    <w:rsid w:val="00D00A05"/>
    <w:rsid w:val="00D00E30"/>
    <w:rsid w:val="00D01C4B"/>
    <w:rsid w:val="00D02201"/>
    <w:rsid w:val="00D02874"/>
    <w:rsid w:val="00D053EA"/>
    <w:rsid w:val="00D120DC"/>
    <w:rsid w:val="00D137F1"/>
    <w:rsid w:val="00D1384A"/>
    <w:rsid w:val="00D1422B"/>
    <w:rsid w:val="00D15FE9"/>
    <w:rsid w:val="00D23DBE"/>
    <w:rsid w:val="00D23DC6"/>
    <w:rsid w:val="00D2461E"/>
    <w:rsid w:val="00D24687"/>
    <w:rsid w:val="00D26840"/>
    <w:rsid w:val="00D30404"/>
    <w:rsid w:val="00D306D5"/>
    <w:rsid w:val="00D315B5"/>
    <w:rsid w:val="00D321B2"/>
    <w:rsid w:val="00D321EB"/>
    <w:rsid w:val="00D34236"/>
    <w:rsid w:val="00D35667"/>
    <w:rsid w:val="00D3747A"/>
    <w:rsid w:val="00D40185"/>
    <w:rsid w:val="00D40D13"/>
    <w:rsid w:val="00D41CF9"/>
    <w:rsid w:val="00D42681"/>
    <w:rsid w:val="00D4288E"/>
    <w:rsid w:val="00D42C87"/>
    <w:rsid w:val="00D43A62"/>
    <w:rsid w:val="00D44275"/>
    <w:rsid w:val="00D4570F"/>
    <w:rsid w:val="00D45ACB"/>
    <w:rsid w:val="00D46D83"/>
    <w:rsid w:val="00D50251"/>
    <w:rsid w:val="00D53F47"/>
    <w:rsid w:val="00D54285"/>
    <w:rsid w:val="00D54A02"/>
    <w:rsid w:val="00D56686"/>
    <w:rsid w:val="00D567AE"/>
    <w:rsid w:val="00D56BFA"/>
    <w:rsid w:val="00D56F94"/>
    <w:rsid w:val="00D574F9"/>
    <w:rsid w:val="00D60B48"/>
    <w:rsid w:val="00D61100"/>
    <w:rsid w:val="00D61E4B"/>
    <w:rsid w:val="00D62565"/>
    <w:rsid w:val="00D625AE"/>
    <w:rsid w:val="00D6293C"/>
    <w:rsid w:val="00D64AF9"/>
    <w:rsid w:val="00D65B69"/>
    <w:rsid w:val="00D66EB2"/>
    <w:rsid w:val="00D67B7B"/>
    <w:rsid w:val="00D70ED9"/>
    <w:rsid w:val="00D70FC2"/>
    <w:rsid w:val="00D71C40"/>
    <w:rsid w:val="00D7283C"/>
    <w:rsid w:val="00D72A65"/>
    <w:rsid w:val="00D72FB7"/>
    <w:rsid w:val="00D756D1"/>
    <w:rsid w:val="00D75AAA"/>
    <w:rsid w:val="00D75C6C"/>
    <w:rsid w:val="00D75CAB"/>
    <w:rsid w:val="00D76596"/>
    <w:rsid w:val="00D7776C"/>
    <w:rsid w:val="00D803C5"/>
    <w:rsid w:val="00D81163"/>
    <w:rsid w:val="00D822E5"/>
    <w:rsid w:val="00D8269E"/>
    <w:rsid w:val="00D83090"/>
    <w:rsid w:val="00D83A98"/>
    <w:rsid w:val="00D85A4B"/>
    <w:rsid w:val="00D86C99"/>
    <w:rsid w:val="00D87BC8"/>
    <w:rsid w:val="00D9166E"/>
    <w:rsid w:val="00D91A26"/>
    <w:rsid w:val="00D92C68"/>
    <w:rsid w:val="00D95AB8"/>
    <w:rsid w:val="00D970E8"/>
    <w:rsid w:val="00D97A5D"/>
    <w:rsid w:val="00D97F41"/>
    <w:rsid w:val="00DA046F"/>
    <w:rsid w:val="00DA140D"/>
    <w:rsid w:val="00DA1A23"/>
    <w:rsid w:val="00DA23E6"/>
    <w:rsid w:val="00DA3BC3"/>
    <w:rsid w:val="00DA7AFC"/>
    <w:rsid w:val="00DB1266"/>
    <w:rsid w:val="00DB1E37"/>
    <w:rsid w:val="00DB1ED4"/>
    <w:rsid w:val="00DB27BB"/>
    <w:rsid w:val="00DB4FC3"/>
    <w:rsid w:val="00DB50E7"/>
    <w:rsid w:val="00DB5CFB"/>
    <w:rsid w:val="00DC0866"/>
    <w:rsid w:val="00DC430B"/>
    <w:rsid w:val="00DC5596"/>
    <w:rsid w:val="00DC702E"/>
    <w:rsid w:val="00DD1D7C"/>
    <w:rsid w:val="00DD314C"/>
    <w:rsid w:val="00DD650E"/>
    <w:rsid w:val="00DD6A68"/>
    <w:rsid w:val="00DE019A"/>
    <w:rsid w:val="00DE05D7"/>
    <w:rsid w:val="00DE0AD7"/>
    <w:rsid w:val="00DE553F"/>
    <w:rsid w:val="00DE5801"/>
    <w:rsid w:val="00DE5BB9"/>
    <w:rsid w:val="00DE6665"/>
    <w:rsid w:val="00DE7257"/>
    <w:rsid w:val="00DE79BE"/>
    <w:rsid w:val="00DF217C"/>
    <w:rsid w:val="00DF46D7"/>
    <w:rsid w:val="00DF49CF"/>
    <w:rsid w:val="00DF5406"/>
    <w:rsid w:val="00E01B64"/>
    <w:rsid w:val="00E029B2"/>
    <w:rsid w:val="00E02ECC"/>
    <w:rsid w:val="00E052B3"/>
    <w:rsid w:val="00E05473"/>
    <w:rsid w:val="00E0692C"/>
    <w:rsid w:val="00E07672"/>
    <w:rsid w:val="00E07C7D"/>
    <w:rsid w:val="00E07FC9"/>
    <w:rsid w:val="00E106D2"/>
    <w:rsid w:val="00E11466"/>
    <w:rsid w:val="00E12CB6"/>
    <w:rsid w:val="00E153FA"/>
    <w:rsid w:val="00E1576A"/>
    <w:rsid w:val="00E15DED"/>
    <w:rsid w:val="00E17794"/>
    <w:rsid w:val="00E17B40"/>
    <w:rsid w:val="00E21E72"/>
    <w:rsid w:val="00E220F2"/>
    <w:rsid w:val="00E22DD8"/>
    <w:rsid w:val="00E23D32"/>
    <w:rsid w:val="00E25E09"/>
    <w:rsid w:val="00E2778C"/>
    <w:rsid w:val="00E278C1"/>
    <w:rsid w:val="00E305CE"/>
    <w:rsid w:val="00E33608"/>
    <w:rsid w:val="00E33EEC"/>
    <w:rsid w:val="00E351FC"/>
    <w:rsid w:val="00E36EFE"/>
    <w:rsid w:val="00E378B4"/>
    <w:rsid w:val="00E40D1F"/>
    <w:rsid w:val="00E411D2"/>
    <w:rsid w:val="00E421D3"/>
    <w:rsid w:val="00E4291A"/>
    <w:rsid w:val="00E43054"/>
    <w:rsid w:val="00E43C05"/>
    <w:rsid w:val="00E45853"/>
    <w:rsid w:val="00E46511"/>
    <w:rsid w:val="00E47826"/>
    <w:rsid w:val="00E47E27"/>
    <w:rsid w:val="00E53D69"/>
    <w:rsid w:val="00E5406C"/>
    <w:rsid w:val="00E55CBA"/>
    <w:rsid w:val="00E55E37"/>
    <w:rsid w:val="00E56160"/>
    <w:rsid w:val="00E56506"/>
    <w:rsid w:val="00E56E09"/>
    <w:rsid w:val="00E574F6"/>
    <w:rsid w:val="00E5786E"/>
    <w:rsid w:val="00E60867"/>
    <w:rsid w:val="00E609AC"/>
    <w:rsid w:val="00E6284B"/>
    <w:rsid w:val="00E63D3A"/>
    <w:rsid w:val="00E63EF4"/>
    <w:rsid w:val="00E649C2"/>
    <w:rsid w:val="00E67575"/>
    <w:rsid w:val="00E6769E"/>
    <w:rsid w:val="00E707A9"/>
    <w:rsid w:val="00E70AA0"/>
    <w:rsid w:val="00E7102C"/>
    <w:rsid w:val="00E71259"/>
    <w:rsid w:val="00E72774"/>
    <w:rsid w:val="00E74749"/>
    <w:rsid w:val="00E761F7"/>
    <w:rsid w:val="00E77366"/>
    <w:rsid w:val="00E821A9"/>
    <w:rsid w:val="00E82A9A"/>
    <w:rsid w:val="00E83E5C"/>
    <w:rsid w:val="00E8618E"/>
    <w:rsid w:val="00E86785"/>
    <w:rsid w:val="00E907AA"/>
    <w:rsid w:val="00E90885"/>
    <w:rsid w:val="00E92F23"/>
    <w:rsid w:val="00E943EC"/>
    <w:rsid w:val="00E9559C"/>
    <w:rsid w:val="00E96F4A"/>
    <w:rsid w:val="00EA03BA"/>
    <w:rsid w:val="00EA0665"/>
    <w:rsid w:val="00EA1887"/>
    <w:rsid w:val="00EA1B4F"/>
    <w:rsid w:val="00EA215A"/>
    <w:rsid w:val="00EA2DF3"/>
    <w:rsid w:val="00EA2E05"/>
    <w:rsid w:val="00EA2E79"/>
    <w:rsid w:val="00EA5142"/>
    <w:rsid w:val="00EA6272"/>
    <w:rsid w:val="00EA6A25"/>
    <w:rsid w:val="00EA6EF0"/>
    <w:rsid w:val="00EB0191"/>
    <w:rsid w:val="00EB285D"/>
    <w:rsid w:val="00EB32FC"/>
    <w:rsid w:val="00EB3F2C"/>
    <w:rsid w:val="00EB587D"/>
    <w:rsid w:val="00EB6F5B"/>
    <w:rsid w:val="00EB75B6"/>
    <w:rsid w:val="00EC0908"/>
    <w:rsid w:val="00EC0FB7"/>
    <w:rsid w:val="00EC1FB1"/>
    <w:rsid w:val="00EC6C85"/>
    <w:rsid w:val="00ED0AF9"/>
    <w:rsid w:val="00ED17D8"/>
    <w:rsid w:val="00ED7317"/>
    <w:rsid w:val="00EE1954"/>
    <w:rsid w:val="00EE1E51"/>
    <w:rsid w:val="00EE1EE0"/>
    <w:rsid w:val="00EE4573"/>
    <w:rsid w:val="00EE464F"/>
    <w:rsid w:val="00EE5DE8"/>
    <w:rsid w:val="00EF02BC"/>
    <w:rsid w:val="00EF1B30"/>
    <w:rsid w:val="00EF20A8"/>
    <w:rsid w:val="00EF34E4"/>
    <w:rsid w:val="00EF36F2"/>
    <w:rsid w:val="00EF3FDE"/>
    <w:rsid w:val="00EF5D1C"/>
    <w:rsid w:val="00F004C5"/>
    <w:rsid w:val="00F0346A"/>
    <w:rsid w:val="00F035A5"/>
    <w:rsid w:val="00F03C3B"/>
    <w:rsid w:val="00F06B32"/>
    <w:rsid w:val="00F06ED9"/>
    <w:rsid w:val="00F06F79"/>
    <w:rsid w:val="00F11C75"/>
    <w:rsid w:val="00F13E3F"/>
    <w:rsid w:val="00F16CC6"/>
    <w:rsid w:val="00F16E37"/>
    <w:rsid w:val="00F17DA4"/>
    <w:rsid w:val="00F20269"/>
    <w:rsid w:val="00F2031C"/>
    <w:rsid w:val="00F21918"/>
    <w:rsid w:val="00F220CE"/>
    <w:rsid w:val="00F22C8F"/>
    <w:rsid w:val="00F23DB6"/>
    <w:rsid w:val="00F25D12"/>
    <w:rsid w:val="00F25F29"/>
    <w:rsid w:val="00F26A37"/>
    <w:rsid w:val="00F26C3F"/>
    <w:rsid w:val="00F27926"/>
    <w:rsid w:val="00F27AB7"/>
    <w:rsid w:val="00F27F04"/>
    <w:rsid w:val="00F32359"/>
    <w:rsid w:val="00F33D18"/>
    <w:rsid w:val="00F3433C"/>
    <w:rsid w:val="00F34C1E"/>
    <w:rsid w:val="00F35C1D"/>
    <w:rsid w:val="00F369FB"/>
    <w:rsid w:val="00F36E47"/>
    <w:rsid w:val="00F37573"/>
    <w:rsid w:val="00F379D9"/>
    <w:rsid w:val="00F412EA"/>
    <w:rsid w:val="00F42FA8"/>
    <w:rsid w:val="00F434FE"/>
    <w:rsid w:val="00F43D80"/>
    <w:rsid w:val="00F45234"/>
    <w:rsid w:val="00F47452"/>
    <w:rsid w:val="00F512D5"/>
    <w:rsid w:val="00F51FDB"/>
    <w:rsid w:val="00F52CFA"/>
    <w:rsid w:val="00F5450B"/>
    <w:rsid w:val="00F565BB"/>
    <w:rsid w:val="00F5691C"/>
    <w:rsid w:val="00F5693C"/>
    <w:rsid w:val="00F57C58"/>
    <w:rsid w:val="00F61E49"/>
    <w:rsid w:val="00F620DA"/>
    <w:rsid w:val="00F6406F"/>
    <w:rsid w:val="00F643DB"/>
    <w:rsid w:val="00F64C79"/>
    <w:rsid w:val="00F65B2E"/>
    <w:rsid w:val="00F674D5"/>
    <w:rsid w:val="00F70090"/>
    <w:rsid w:val="00F700AB"/>
    <w:rsid w:val="00F7219C"/>
    <w:rsid w:val="00F73066"/>
    <w:rsid w:val="00F75163"/>
    <w:rsid w:val="00F81C84"/>
    <w:rsid w:val="00F825A9"/>
    <w:rsid w:val="00F827BC"/>
    <w:rsid w:val="00F8450C"/>
    <w:rsid w:val="00F8738D"/>
    <w:rsid w:val="00F873D2"/>
    <w:rsid w:val="00F90520"/>
    <w:rsid w:val="00F9189F"/>
    <w:rsid w:val="00F91F89"/>
    <w:rsid w:val="00F92CF3"/>
    <w:rsid w:val="00F94B00"/>
    <w:rsid w:val="00F952BD"/>
    <w:rsid w:val="00F95C09"/>
    <w:rsid w:val="00F95F40"/>
    <w:rsid w:val="00F97DA1"/>
    <w:rsid w:val="00FA039D"/>
    <w:rsid w:val="00FA04F1"/>
    <w:rsid w:val="00FA272F"/>
    <w:rsid w:val="00FA45A1"/>
    <w:rsid w:val="00FA49AC"/>
    <w:rsid w:val="00FA6ED3"/>
    <w:rsid w:val="00FA7972"/>
    <w:rsid w:val="00FB03D8"/>
    <w:rsid w:val="00FB2372"/>
    <w:rsid w:val="00FB25E2"/>
    <w:rsid w:val="00FB5A30"/>
    <w:rsid w:val="00FB6F17"/>
    <w:rsid w:val="00FC0741"/>
    <w:rsid w:val="00FC1717"/>
    <w:rsid w:val="00FC252F"/>
    <w:rsid w:val="00FC2F40"/>
    <w:rsid w:val="00FC3911"/>
    <w:rsid w:val="00FC53CA"/>
    <w:rsid w:val="00FC70DE"/>
    <w:rsid w:val="00FD01FB"/>
    <w:rsid w:val="00FD123D"/>
    <w:rsid w:val="00FD34FC"/>
    <w:rsid w:val="00FD42F3"/>
    <w:rsid w:val="00FD449C"/>
    <w:rsid w:val="00FD47E6"/>
    <w:rsid w:val="00FD5847"/>
    <w:rsid w:val="00FD5DE8"/>
    <w:rsid w:val="00FD7DE7"/>
    <w:rsid w:val="00FE229C"/>
    <w:rsid w:val="00FE2B69"/>
    <w:rsid w:val="00FE2FA5"/>
    <w:rsid w:val="00FE529C"/>
    <w:rsid w:val="00FE6E17"/>
    <w:rsid w:val="00FF0D04"/>
    <w:rsid w:val="00FF1E9F"/>
    <w:rsid w:val="00FF34C9"/>
    <w:rsid w:val="00FF437C"/>
    <w:rsid w:val="00FF54C3"/>
    <w:rsid w:val="00FF5A67"/>
    <w:rsid w:val="00FF5FA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69"/>
    <o:shapelayout v:ext="edit">
      <o:idmap v:ext="edit" data="1"/>
    </o:shapelayout>
  </w:shapeDefaults>
  <w:decimalSymbol w:val="."/>
  <w:listSeparator w:val=","/>
  <w14:docId w14:val="7A1FF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iPriority="0"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uiPriority="4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2C8"/>
    <w:pPr>
      <w:spacing w:after="120"/>
    </w:pPr>
    <w:rPr>
      <w:sz w:val="20"/>
    </w:rPr>
  </w:style>
  <w:style w:type="paragraph" w:styleId="Heading1">
    <w:name w:val="heading 1"/>
    <w:basedOn w:val="Normal"/>
    <w:next w:val="Normal"/>
    <w:link w:val="Heading1Char"/>
    <w:uiPriority w:val="9"/>
    <w:qFormat/>
    <w:rsid w:val="006C7D58"/>
    <w:pPr>
      <w:keepNext/>
      <w:keepLines/>
      <w:spacing w:before="480"/>
      <w:outlineLvl w:val="0"/>
    </w:pPr>
    <w:rPr>
      <w:rFonts w:asciiTheme="majorHAnsi" w:eastAsiaTheme="majorEastAsia" w:hAnsiTheme="majorHAnsi" w:cstheme="majorBidi"/>
      <w:b/>
      <w:bCs/>
      <w:color w:val="004059" w:themeColor="accent1" w:themeShade="BF"/>
      <w:sz w:val="48"/>
      <w:szCs w:val="28"/>
    </w:rPr>
  </w:style>
  <w:style w:type="paragraph" w:styleId="Heading2">
    <w:name w:val="heading 2"/>
    <w:basedOn w:val="Normal"/>
    <w:next w:val="Normal"/>
    <w:link w:val="Heading2Char"/>
    <w:uiPriority w:val="9"/>
    <w:unhideWhenUsed/>
    <w:qFormat/>
    <w:rsid w:val="003829F2"/>
    <w:pPr>
      <w:keepNext/>
      <w:keepLines/>
      <w:spacing w:before="360"/>
      <w:outlineLvl w:val="1"/>
    </w:pPr>
    <w:rPr>
      <w:rFonts w:asciiTheme="majorHAnsi" w:eastAsiaTheme="majorEastAsia" w:hAnsiTheme="majorHAnsi" w:cstheme="majorBidi"/>
      <w:b/>
      <w:bCs/>
      <w:color w:val="005677" w:themeColor="accent1"/>
      <w:sz w:val="28"/>
      <w:szCs w:val="26"/>
    </w:rPr>
  </w:style>
  <w:style w:type="paragraph" w:styleId="Heading3">
    <w:name w:val="heading 3"/>
    <w:basedOn w:val="Normal"/>
    <w:next w:val="Normal"/>
    <w:link w:val="Heading3Char"/>
    <w:uiPriority w:val="9"/>
    <w:unhideWhenUsed/>
    <w:qFormat/>
    <w:rsid w:val="003630F9"/>
    <w:pPr>
      <w:keepNext/>
      <w:keepLines/>
      <w:spacing w:before="200" w:after="0"/>
      <w:outlineLvl w:val="2"/>
    </w:pPr>
    <w:rPr>
      <w:rFonts w:asciiTheme="majorHAnsi" w:eastAsiaTheme="majorEastAsia" w:hAnsiTheme="majorHAnsi" w:cstheme="majorBidi"/>
      <w:b/>
      <w:bCs/>
      <w:color w:val="005677" w:themeColor="accent1"/>
      <w:sz w:val="24"/>
      <w:szCs w:val="24"/>
    </w:rPr>
  </w:style>
  <w:style w:type="paragraph" w:styleId="Heading4">
    <w:name w:val="heading 4"/>
    <w:basedOn w:val="Normal"/>
    <w:next w:val="Normal"/>
    <w:link w:val="Heading4Char"/>
    <w:uiPriority w:val="9"/>
    <w:unhideWhenUsed/>
    <w:qFormat/>
    <w:rsid w:val="005D54DF"/>
    <w:pPr>
      <w:keepNext/>
      <w:keepLines/>
      <w:spacing w:before="200" w:after="0"/>
      <w:outlineLvl w:val="3"/>
    </w:pPr>
    <w:rPr>
      <w:rFonts w:asciiTheme="majorHAnsi" w:eastAsiaTheme="majorEastAsia" w:hAnsiTheme="majorHAnsi" w:cstheme="majorBidi"/>
      <w:bCs/>
      <w:i/>
      <w:iCs/>
      <w:color w:val="005677" w:themeColor="accent1"/>
      <w:sz w:val="22"/>
    </w:rPr>
  </w:style>
  <w:style w:type="paragraph" w:styleId="Heading5">
    <w:name w:val="heading 5"/>
    <w:basedOn w:val="Normal"/>
    <w:next w:val="Normal"/>
    <w:link w:val="Heading5Char"/>
    <w:uiPriority w:val="9"/>
    <w:unhideWhenUsed/>
    <w:qFormat/>
    <w:rsid w:val="003630F9"/>
    <w:pPr>
      <w:keepNext/>
      <w:keepLines/>
      <w:spacing w:before="200" w:after="0"/>
      <w:outlineLvl w:val="4"/>
    </w:pPr>
    <w:rPr>
      <w:rFonts w:asciiTheme="majorHAnsi" w:eastAsiaTheme="majorEastAsia" w:hAnsiTheme="majorHAnsi" w:cstheme="majorBidi"/>
      <w:b/>
      <w:color w:val="002A3B" w:themeColor="accent1" w:themeShade="7F"/>
    </w:rPr>
  </w:style>
  <w:style w:type="paragraph" w:styleId="Heading6">
    <w:name w:val="heading 6"/>
    <w:basedOn w:val="Normal"/>
    <w:next w:val="Normal"/>
    <w:link w:val="Heading6Char"/>
    <w:uiPriority w:val="9"/>
    <w:unhideWhenUsed/>
    <w:qFormat/>
    <w:rsid w:val="00B37916"/>
    <w:pPr>
      <w:keepNext/>
      <w:keepLines/>
      <w:spacing w:before="200" w:after="0"/>
      <w:outlineLvl w:val="5"/>
    </w:pPr>
    <w:rPr>
      <w:rFonts w:asciiTheme="majorHAnsi" w:eastAsiaTheme="majorEastAsia" w:hAnsiTheme="majorHAnsi" w:cstheme="majorBidi"/>
      <w:b/>
      <w:i/>
      <w:iCs/>
      <w:color w:val="002A3B" w:themeColor="accent1" w:themeShade="7F"/>
    </w:rPr>
  </w:style>
  <w:style w:type="paragraph" w:styleId="Heading7">
    <w:name w:val="heading 7"/>
    <w:basedOn w:val="Normal"/>
    <w:next w:val="Normal"/>
    <w:link w:val="Heading7Char"/>
    <w:uiPriority w:val="9"/>
    <w:unhideWhenUsed/>
    <w:qFormat/>
    <w:rsid w:val="003630F9"/>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726"/>
    <w:pPr>
      <w:spacing w:after="0" w:line="240" w:lineRule="auto"/>
    </w:pPr>
  </w:style>
  <w:style w:type="character" w:customStyle="1" w:styleId="Heading1Char">
    <w:name w:val="Heading 1 Char"/>
    <w:basedOn w:val="DefaultParagraphFont"/>
    <w:link w:val="Heading1"/>
    <w:uiPriority w:val="9"/>
    <w:rsid w:val="006C7D58"/>
    <w:rPr>
      <w:rFonts w:asciiTheme="majorHAnsi" w:eastAsiaTheme="majorEastAsia" w:hAnsiTheme="majorHAnsi" w:cstheme="majorBidi"/>
      <w:b/>
      <w:bCs/>
      <w:color w:val="004059" w:themeColor="accent1" w:themeShade="BF"/>
      <w:sz w:val="48"/>
      <w:szCs w:val="28"/>
    </w:rPr>
  </w:style>
  <w:style w:type="character" w:customStyle="1" w:styleId="Heading2Char">
    <w:name w:val="Heading 2 Char"/>
    <w:basedOn w:val="DefaultParagraphFont"/>
    <w:link w:val="Heading2"/>
    <w:uiPriority w:val="9"/>
    <w:rsid w:val="003829F2"/>
    <w:rPr>
      <w:rFonts w:asciiTheme="majorHAnsi" w:eastAsiaTheme="majorEastAsia" w:hAnsiTheme="majorHAnsi" w:cstheme="majorBidi"/>
      <w:b/>
      <w:bCs/>
      <w:color w:val="005677" w:themeColor="accent1"/>
      <w:sz w:val="28"/>
      <w:szCs w:val="26"/>
    </w:rPr>
  </w:style>
  <w:style w:type="paragraph" w:styleId="Title">
    <w:name w:val="Title"/>
    <w:basedOn w:val="Normal"/>
    <w:next w:val="Normal"/>
    <w:link w:val="TitleChar"/>
    <w:uiPriority w:val="10"/>
    <w:qFormat/>
    <w:rsid w:val="00F27926"/>
    <w:pPr>
      <w:spacing w:before="9480" w:after="480" w:line="240" w:lineRule="auto"/>
      <w:contextualSpacing/>
    </w:pPr>
    <w:rPr>
      <w:rFonts w:asciiTheme="majorHAnsi" w:eastAsiaTheme="majorEastAsia" w:hAnsiTheme="majorHAnsi" w:cstheme="majorBidi"/>
      <w:b/>
      <w:color w:val="FFFFFF" w:themeColor="background1"/>
      <w:spacing w:val="5"/>
      <w:kern w:val="28"/>
      <w:sz w:val="40"/>
      <w:szCs w:val="52"/>
    </w:rPr>
  </w:style>
  <w:style w:type="character" w:customStyle="1" w:styleId="TitleChar">
    <w:name w:val="Title Char"/>
    <w:basedOn w:val="DefaultParagraphFont"/>
    <w:link w:val="Title"/>
    <w:uiPriority w:val="10"/>
    <w:rsid w:val="00F27926"/>
    <w:rPr>
      <w:rFonts w:asciiTheme="majorHAnsi" w:eastAsiaTheme="majorEastAsia" w:hAnsiTheme="majorHAnsi" w:cstheme="majorBidi"/>
      <w:b/>
      <w:color w:val="FFFFFF" w:themeColor="background1"/>
      <w:spacing w:val="5"/>
      <w:kern w:val="28"/>
      <w:sz w:val="40"/>
      <w:szCs w:val="52"/>
    </w:rPr>
  </w:style>
  <w:style w:type="paragraph" w:styleId="Subtitle">
    <w:name w:val="Subtitle"/>
    <w:basedOn w:val="Normal"/>
    <w:next w:val="Normal"/>
    <w:link w:val="SubtitleChar"/>
    <w:uiPriority w:val="11"/>
    <w:qFormat/>
    <w:rsid w:val="005F1934"/>
    <w:pPr>
      <w:numPr>
        <w:ilvl w:val="1"/>
      </w:numPr>
    </w:pPr>
    <w:rPr>
      <w:rFonts w:asciiTheme="majorHAnsi" w:eastAsiaTheme="majorEastAsia" w:hAnsiTheme="majorHAnsi" w:cstheme="majorBidi"/>
      <w:iCs/>
      <w:color w:val="939598" w:themeColor="background2"/>
      <w:spacing w:val="15"/>
      <w:sz w:val="40"/>
      <w:szCs w:val="24"/>
    </w:rPr>
  </w:style>
  <w:style w:type="character" w:customStyle="1" w:styleId="SubtitleChar">
    <w:name w:val="Subtitle Char"/>
    <w:basedOn w:val="DefaultParagraphFont"/>
    <w:link w:val="Subtitle"/>
    <w:uiPriority w:val="11"/>
    <w:rsid w:val="005F1934"/>
    <w:rPr>
      <w:rFonts w:asciiTheme="majorHAnsi" w:eastAsiaTheme="majorEastAsia" w:hAnsiTheme="majorHAnsi" w:cstheme="majorBidi"/>
      <w:iCs/>
      <w:color w:val="939598" w:themeColor="background2"/>
      <w:spacing w:val="15"/>
      <w:sz w:val="40"/>
      <w:szCs w:val="24"/>
    </w:rPr>
  </w:style>
  <w:style w:type="character" w:styleId="Emphasis">
    <w:name w:val="Emphasis"/>
    <w:basedOn w:val="DefaultParagraphFont"/>
    <w:uiPriority w:val="20"/>
    <w:qFormat/>
    <w:rsid w:val="00975726"/>
    <w:rPr>
      <w:i/>
      <w:iCs/>
    </w:rPr>
  </w:style>
  <w:style w:type="character" w:styleId="Strong">
    <w:name w:val="Strong"/>
    <w:basedOn w:val="DefaultParagraphFont"/>
    <w:uiPriority w:val="22"/>
    <w:qFormat/>
    <w:rsid w:val="00975726"/>
    <w:rPr>
      <w:b/>
      <w:bCs/>
    </w:rPr>
  </w:style>
  <w:style w:type="character" w:styleId="Hyperlink">
    <w:name w:val="Hyperlink"/>
    <w:basedOn w:val="DefaultParagraphFont"/>
    <w:uiPriority w:val="99"/>
    <w:unhideWhenUsed/>
    <w:rsid w:val="00822068"/>
    <w:rPr>
      <w:color w:val="005677" w:themeColor="hyperlink"/>
      <w:u w:val="single"/>
    </w:rPr>
  </w:style>
  <w:style w:type="character" w:customStyle="1" w:styleId="Heading3Char">
    <w:name w:val="Heading 3 Char"/>
    <w:basedOn w:val="DefaultParagraphFont"/>
    <w:link w:val="Heading3"/>
    <w:uiPriority w:val="9"/>
    <w:rsid w:val="003630F9"/>
    <w:rPr>
      <w:rFonts w:asciiTheme="majorHAnsi" w:eastAsiaTheme="majorEastAsia" w:hAnsiTheme="majorHAnsi" w:cstheme="majorBidi"/>
      <w:b/>
      <w:bCs/>
      <w:color w:val="005677" w:themeColor="accent1"/>
      <w:sz w:val="24"/>
      <w:szCs w:val="24"/>
    </w:rPr>
  </w:style>
  <w:style w:type="character" w:customStyle="1" w:styleId="Heading4Char">
    <w:name w:val="Heading 4 Char"/>
    <w:basedOn w:val="DefaultParagraphFont"/>
    <w:link w:val="Heading4"/>
    <w:uiPriority w:val="9"/>
    <w:rsid w:val="005D54DF"/>
    <w:rPr>
      <w:rFonts w:asciiTheme="majorHAnsi" w:eastAsiaTheme="majorEastAsia" w:hAnsiTheme="majorHAnsi" w:cstheme="majorBidi"/>
      <w:bCs/>
      <w:i/>
      <w:iCs/>
      <w:color w:val="005677" w:themeColor="accent1"/>
    </w:rPr>
  </w:style>
  <w:style w:type="character" w:customStyle="1" w:styleId="Heading5Char">
    <w:name w:val="Heading 5 Char"/>
    <w:basedOn w:val="DefaultParagraphFont"/>
    <w:link w:val="Heading5"/>
    <w:uiPriority w:val="9"/>
    <w:rsid w:val="003630F9"/>
    <w:rPr>
      <w:rFonts w:asciiTheme="majorHAnsi" w:eastAsiaTheme="majorEastAsia" w:hAnsiTheme="majorHAnsi" w:cstheme="majorBidi"/>
      <w:b/>
      <w:color w:val="002A3B" w:themeColor="accent1" w:themeShade="7F"/>
      <w:sz w:val="20"/>
    </w:rPr>
  </w:style>
  <w:style w:type="table" w:styleId="TableGrid">
    <w:name w:val="Table Grid"/>
    <w:basedOn w:val="TableNormal"/>
    <w:uiPriority w:val="39"/>
    <w:rsid w:val="008220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822068"/>
    <w:pPr>
      <w:spacing w:after="0" w:line="240" w:lineRule="auto"/>
    </w:pPr>
    <w:tblPr>
      <w:tblStyleRowBandSize w:val="1"/>
      <w:tblStyleColBandSize w:val="1"/>
      <w:tblBorders>
        <w:top w:val="single" w:sz="8" w:space="0" w:color="005677" w:themeColor="accent1"/>
        <w:left w:val="single" w:sz="8" w:space="0" w:color="005677" w:themeColor="accent1"/>
        <w:bottom w:val="single" w:sz="8" w:space="0" w:color="005677" w:themeColor="accent1"/>
        <w:right w:val="single" w:sz="8" w:space="0" w:color="005677" w:themeColor="accent1"/>
      </w:tblBorders>
    </w:tblPr>
    <w:tblStylePr w:type="firstRow">
      <w:pPr>
        <w:spacing w:before="0" w:after="0" w:line="240" w:lineRule="auto"/>
      </w:pPr>
      <w:rPr>
        <w:b/>
        <w:bCs/>
        <w:color w:val="FFFFFF" w:themeColor="background1"/>
      </w:rPr>
      <w:tblPr/>
      <w:tcPr>
        <w:shd w:val="clear" w:color="auto" w:fill="005677" w:themeFill="accent1"/>
      </w:tcPr>
    </w:tblStylePr>
    <w:tblStylePr w:type="lastRow">
      <w:pPr>
        <w:spacing w:before="0" w:after="0" w:line="240" w:lineRule="auto"/>
      </w:pPr>
      <w:rPr>
        <w:b/>
        <w:bCs/>
      </w:rPr>
      <w:tblPr/>
      <w:tcPr>
        <w:tcBorders>
          <w:top w:val="double" w:sz="6" w:space="0" w:color="005677" w:themeColor="accent1"/>
          <w:left w:val="single" w:sz="8" w:space="0" w:color="005677" w:themeColor="accent1"/>
          <w:bottom w:val="single" w:sz="8" w:space="0" w:color="005677" w:themeColor="accent1"/>
          <w:right w:val="single" w:sz="8" w:space="0" w:color="005677" w:themeColor="accent1"/>
        </w:tcBorders>
      </w:tcPr>
    </w:tblStylePr>
    <w:tblStylePr w:type="firstCol">
      <w:rPr>
        <w:b/>
        <w:bCs/>
      </w:rPr>
    </w:tblStylePr>
    <w:tblStylePr w:type="lastCol">
      <w:rPr>
        <w:b/>
        <w:bCs/>
      </w:rPr>
    </w:tblStylePr>
    <w:tblStylePr w:type="band1Vert">
      <w:tblPr/>
      <w:tcPr>
        <w:tcBorders>
          <w:top w:val="single" w:sz="8" w:space="0" w:color="005677" w:themeColor="accent1"/>
          <w:left w:val="single" w:sz="8" w:space="0" w:color="005677" w:themeColor="accent1"/>
          <w:bottom w:val="single" w:sz="8" w:space="0" w:color="005677" w:themeColor="accent1"/>
          <w:right w:val="single" w:sz="8" w:space="0" w:color="005677" w:themeColor="accent1"/>
        </w:tcBorders>
      </w:tcPr>
    </w:tblStylePr>
    <w:tblStylePr w:type="band1Horz">
      <w:tblPr/>
      <w:tcPr>
        <w:tcBorders>
          <w:top w:val="single" w:sz="8" w:space="0" w:color="005677" w:themeColor="accent1"/>
          <w:left w:val="single" w:sz="8" w:space="0" w:color="005677" w:themeColor="accent1"/>
          <w:bottom w:val="single" w:sz="8" w:space="0" w:color="005677" w:themeColor="accent1"/>
          <w:right w:val="single" w:sz="8" w:space="0" w:color="005677" w:themeColor="accent1"/>
        </w:tcBorders>
      </w:tcPr>
    </w:tblStylePr>
  </w:style>
  <w:style w:type="table" w:styleId="LightList-Accent2">
    <w:name w:val="Light List Accent 2"/>
    <w:basedOn w:val="TableNormal"/>
    <w:uiPriority w:val="61"/>
    <w:rsid w:val="00822068"/>
    <w:pPr>
      <w:spacing w:after="0" w:line="240" w:lineRule="auto"/>
    </w:pPr>
    <w:tblPr>
      <w:tblStyleRowBandSize w:val="1"/>
      <w:tblStyleColBandSize w:val="1"/>
      <w:tblBorders>
        <w:top w:val="single" w:sz="8" w:space="0" w:color="00283E" w:themeColor="accent2"/>
        <w:left w:val="single" w:sz="8" w:space="0" w:color="00283E" w:themeColor="accent2"/>
        <w:bottom w:val="single" w:sz="8" w:space="0" w:color="00283E" w:themeColor="accent2"/>
        <w:right w:val="single" w:sz="8" w:space="0" w:color="00283E" w:themeColor="accent2"/>
      </w:tblBorders>
    </w:tblPr>
    <w:tblStylePr w:type="firstRow">
      <w:pPr>
        <w:spacing w:before="0" w:after="0" w:line="240" w:lineRule="auto"/>
      </w:pPr>
      <w:rPr>
        <w:b/>
        <w:bCs/>
        <w:color w:val="FFFFFF" w:themeColor="background1"/>
      </w:rPr>
      <w:tblPr/>
      <w:tcPr>
        <w:shd w:val="clear" w:color="auto" w:fill="00283E" w:themeFill="accent2"/>
      </w:tcPr>
    </w:tblStylePr>
    <w:tblStylePr w:type="lastRow">
      <w:pPr>
        <w:spacing w:before="0" w:after="0" w:line="240" w:lineRule="auto"/>
      </w:pPr>
      <w:rPr>
        <w:b/>
        <w:bCs/>
      </w:rPr>
      <w:tblPr/>
      <w:tcPr>
        <w:tcBorders>
          <w:top w:val="double" w:sz="6" w:space="0" w:color="00283E" w:themeColor="accent2"/>
          <w:left w:val="single" w:sz="8" w:space="0" w:color="00283E" w:themeColor="accent2"/>
          <w:bottom w:val="single" w:sz="8" w:space="0" w:color="00283E" w:themeColor="accent2"/>
          <w:right w:val="single" w:sz="8" w:space="0" w:color="00283E" w:themeColor="accent2"/>
        </w:tcBorders>
      </w:tcPr>
    </w:tblStylePr>
    <w:tblStylePr w:type="firstCol">
      <w:rPr>
        <w:b/>
        <w:bCs/>
      </w:rPr>
    </w:tblStylePr>
    <w:tblStylePr w:type="lastCol">
      <w:rPr>
        <w:b/>
        <w:bCs/>
      </w:rPr>
    </w:tblStylePr>
    <w:tblStylePr w:type="band1Vert">
      <w:tblPr/>
      <w:tcPr>
        <w:tcBorders>
          <w:top w:val="single" w:sz="8" w:space="0" w:color="00283E" w:themeColor="accent2"/>
          <w:left w:val="single" w:sz="8" w:space="0" w:color="00283E" w:themeColor="accent2"/>
          <w:bottom w:val="single" w:sz="8" w:space="0" w:color="00283E" w:themeColor="accent2"/>
          <w:right w:val="single" w:sz="8" w:space="0" w:color="00283E" w:themeColor="accent2"/>
        </w:tcBorders>
      </w:tcPr>
    </w:tblStylePr>
    <w:tblStylePr w:type="band1Horz">
      <w:tblPr/>
      <w:tcPr>
        <w:tcBorders>
          <w:top w:val="single" w:sz="8" w:space="0" w:color="00283E" w:themeColor="accent2"/>
          <w:left w:val="single" w:sz="8" w:space="0" w:color="00283E" w:themeColor="accent2"/>
          <w:bottom w:val="single" w:sz="8" w:space="0" w:color="00283E" w:themeColor="accent2"/>
          <w:right w:val="single" w:sz="8" w:space="0" w:color="00283E" w:themeColor="accent2"/>
        </w:tcBorders>
      </w:tcPr>
    </w:tblStylePr>
  </w:style>
  <w:style w:type="table" w:styleId="LightList-Accent3">
    <w:name w:val="Light List Accent 3"/>
    <w:basedOn w:val="TableNormal"/>
    <w:uiPriority w:val="61"/>
    <w:rsid w:val="00822068"/>
    <w:pPr>
      <w:spacing w:after="0" w:line="240" w:lineRule="auto"/>
    </w:pPr>
    <w:tblPr>
      <w:tblStyleRowBandSize w:val="1"/>
      <w:tblStyleColBandSize w:val="1"/>
      <w:tblBorders>
        <w:top w:val="single" w:sz="8" w:space="0" w:color="1B9590" w:themeColor="accent3"/>
        <w:left w:val="single" w:sz="8" w:space="0" w:color="1B9590" w:themeColor="accent3"/>
        <w:bottom w:val="single" w:sz="8" w:space="0" w:color="1B9590" w:themeColor="accent3"/>
        <w:right w:val="single" w:sz="8" w:space="0" w:color="1B9590" w:themeColor="accent3"/>
      </w:tblBorders>
    </w:tblPr>
    <w:tblStylePr w:type="firstRow">
      <w:pPr>
        <w:spacing w:before="0" w:after="0" w:line="240" w:lineRule="auto"/>
      </w:pPr>
      <w:rPr>
        <w:b/>
        <w:bCs/>
        <w:color w:val="FFFFFF" w:themeColor="background1"/>
      </w:rPr>
      <w:tblPr/>
      <w:tcPr>
        <w:shd w:val="clear" w:color="auto" w:fill="1B9590" w:themeFill="accent3"/>
      </w:tcPr>
    </w:tblStylePr>
    <w:tblStylePr w:type="lastRow">
      <w:pPr>
        <w:spacing w:before="0" w:after="0" w:line="240" w:lineRule="auto"/>
      </w:pPr>
      <w:rPr>
        <w:b/>
        <w:bCs/>
      </w:rPr>
      <w:tblPr/>
      <w:tcPr>
        <w:tcBorders>
          <w:top w:val="double" w:sz="6" w:space="0" w:color="1B9590" w:themeColor="accent3"/>
          <w:left w:val="single" w:sz="8" w:space="0" w:color="1B9590" w:themeColor="accent3"/>
          <w:bottom w:val="single" w:sz="8" w:space="0" w:color="1B9590" w:themeColor="accent3"/>
          <w:right w:val="single" w:sz="8" w:space="0" w:color="1B9590" w:themeColor="accent3"/>
        </w:tcBorders>
      </w:tcPr>
    </w:tblStylePr>
    <w:tblStylePr w:type="firstCol">
      <w:rPr>
        <w:b/>
        <w:bCs/>
      </w:rPr>
    </w:tblStylePr>
    <w:tblStylePr w:type="lastCol">
      <w:rPr>
        <w:b/>
        <w:bCs/>
      </w:rPr>
    </w:tblStylePr>
    <w:tblStylePr w:type="band1Vert">
      <w:tblPr/>
      <w:tcPr>
        <w:tcBorders>
          <w:top w:val="single" w:sz="8" w:space="0" w:color="1B9590" w:themeColor="accent3"/>
          <w:left w:val="single" w:sz="8" w:space="0" w:color="1B9590" w:themeColor="accent3"/>
          <w:bottom w:val="single" w:sz="8" w:space="0" w:color="1B9590" w:themeColor="accent3"/>
          <w:right w:val="single" w:sz="8" w:space="0" w:color="1B9590" w:themeColor="accent3"/>
        </w:tcBorders>
      </w:tcPr>
    </w:tblStylePr>
    <w:tblStylePr w:type="band1Horz">
      <w:tblPr/>
      <w:tcPr>
        <w:tcBorders>
          <w:top w:val="single" w:sz="8" w:space="0" w:color="1B9590" w:themeColor="accent3"/>
          <w:left w:val="single" w:sz="8" w:space="0" w:color="1B9590" w:themeColor="accent3"/>
          <w:bottom w:val="single" w:sz="8" w:space="0" w:color="1B9590" w:themeColor="accent3"/>
          <w:right w:val="single" w:sz="8" w:space="0" w:color="1B9590" w:themeColor="accent3"/>
        </w:tcBorders>
      </w:tcPr>
    </w:tblStylePr>
  </w:style>
  <w:style w:type="table" w:styleId="LightList-Accent4">
    <w:name w:val="Light List Accent 4"/>
    <w:basedOn w:val="TableNormal"/>
    <w:uiPriority w:val="61"/>
    <w:rsid w:val="00822068"/>
    <w:pPr>
      <w:spacing w:after="0" w:line="240" w:lineRule="auto"/>
    </w:pPr>
    <w:tblPr>
      <w:tblStyleRowBandSize w:val="1"/>
      <w:tblStyleColBandSize w:val="1"/>
      <w:tblBorders>
        <w:top w:val="single" w:sz="8" w:space="0" w:color="61C6C6" w:themeColor="accent4"/>
        <w:left w:val="single" w:sz="8" w:space="0" w:color="61C6C6" w:themeColor="accent4"/>
        <w:bottom w:val="single" w:sz="8" w:space="0" w:color="61C6C6" w:themeColor="accent4"/>
        <w:right w:val="single" w:sz="8" w:space="0" w:color="61C6C6" w:themeColor="accent4"/>
      </w:tblBorders>
    </w:tblPr>
    <w:tblStylePr w:type="firstRow">
      <w:pPr>
        <w:spacing w:before="0" w:after="0" w:line="240" w:lineRule="auto"/>
      </w:pPr>
      <w:rPr>
        <w:b/>
        <w:bCs/>
        <w:color w:val="FFFFFF" w:themeColor="background1"/>
      </w:rPr>
      <w:tblPr/>
      <w:tcPr>
        <w:shd w:val="clear" w:color="auto" w:fill="61C6C6" w:themeFill="accent4"/>
      </w:tcPr>
    </w:tblStylePr>
    <w:tblStylePr w:type="lastRow">
      <w:pPr>
        <w:spacing w:before="0" w:after="0" w:line="240" w:lineRule="auto"/>
      </w:pPr>
      <w:rPr>
        <w:b/>
        <w:bCs/>
      </w:rPr>
      <w:tblPr/>
      <w:tcPr>
        <w:tcBorders>
          <w:top w:val="double" w:sz="6" w:space="0" w:color="61C6C6" w:themeColor="accent4"/>
          <w:left w:val="single" w:sz="8" w:space="0" w:color="61C6C6" w:themeColor="accent4"/>
          <w:bottom w:val="single" w:sz="8" w:space="0" w:color="61C6C6" w:themeColor="accent4"/>
          <w:right w:val="single" w:sz="8" w:space="0" w:color="61C6C6" w:themeColor="accent4"/>
        </w:tcBorders>
      </w:tcPr>
    </w:tblStylePr>
    <w:tblStylePr w:type="firstCol">
      <w:rPr>
        <w:b/>
        <w:bCs/>
      </w:rPr>
    </w:tblStylePr>
    <w:tblStylePr w:type="lastCol">
      <w:rPr>
        <w:b/>
        <w:bCs/>
      </w:rPr>
    </w:tblStylePr>
    <w:tblStylePr w:type="band1Vert">
      <w:tblPr/>
      <w:tcPr>
        <w:tcBorders>
          <w:top w:val="single" w:sz="8" w:space="0" w:color="61C6C6" w:themeColor="accent4"/>
          <w:left w:val="single" w:sz="8" w:space="0" w:color="61C6C6" w:themeColor="accent4"/>
          <w:bottom w:val="single" w:sz="8" w:space="0" w:color="61C6C6" w:themeColor="accent4"/>
          <w:right w:val="single" w:sz="8" w:space="0" w:color="61C6C6" w:themeColor="accent4"/>
        </w:tcBorders>
      </w:tcPr>
    </w:tblStylePr>
    <w:tblStylePr w:type="band1Horz">
      <w:tblPr/>
      <w:tcPr>
        <w:tcBorders>
          <w:top w:val="single" w:sz="8" w:space="0" w:color="61C6C6" w:themeColor="accent4"/>
          <w:left w:val="single" w:sz="8" w:space="0" w:color="61C6C6" w:themeColor="accent4"/>
          <w:bottom w:val="single" w:sz="8" w:space="0" w:color="61C6C6" w:themeColor="accent4"/>
          <w:right w:val="single" w:sz="8" w:space="0" w:color="61C6C6" w:themeColor="accent4"/>
        </w:tcBorders>
      </w:tcPr>
    </w:tblStylePr>
  </w:style>
  <w:style w:type="table" w:customStyle="1" w:styleId="Style1">
    <w:name w:val="Style1"/>
    <w:basedOn w:val="TableNormal"/>
    <w:uiPriority w:val="99"/>
    <w:rsid w:val="002E14EA"/>
    <w:pPr>
      <w:spacing w:after="0" w:line="240" w:lineRule="auto"/>
    </w:pPr>
    <w:rPr>
      <w:rFonts w:ascii="Arial" w:hAnsi="Arial"/>
      <w:color w:val="000000" w:themeColor="text1"/>
      <w:sz w:val="20"/>
    </w:rPr>
    <w:tblPr>
      <w:tblBorders>
        <w:bottom w:val="single" w:sz="2" w:space="0" w:color="005677" w:themeColor="accent1"/>
        <w:insideH w:val="single" w:sz="2" w:space="0" w:color="005677" w:themeColor="accent1"/>
      </w:tblBorders>
      <w:tblCellMar>
        <w:top w:w="85" w:type="dxa"/>
        <w:bottom w:w="85" w:type="dxa"/>
      </w:tblCellMar>
    </w:tblPr>
    <w:tcPr>
      <w:shd w:val="clear" w:color="auto" w:fill="auto"/>
      <w:vAlign w:val="center"/>
    </w:tcPr>
    <w:tblStylePr w:type="firstRow">
      <w:pPr>
        <w:jc w:val="left"/>
      </w:pPr>
      <w:rPr>
        <w:rFonts w:ascii="Arial" w:hAnsi="Arial"/>
        <w:b/>
        <w:color w:val="FFFFFF" w:themeColor="background1"/>
        <w:sz w:val="20"/>
      </w:rPr>
      <w:tblPr/>
      <w:tcPr>
        <w:shd w:val="clear" w:color="auto" w:fill="005677" w:themeFill="accent1"/>
      </w:tcPr>
    </w:tblStylePr>
    <w:tblStylePr w:type="lastRow">
      <w:pPr>
        <w:jc w:val="left"/>
      </w:pPr>
      <w:rPr>
        <w:rFonts w:ascii="Arial" w:hAnsi="Arial"/>
        <w:b/>
      </w:rPr>
    </w:tblStylePr>
    <w:tblStylePr w:type="firstCol">
      <w:rPr>
        <w:b/>
      </w:rPr>
    </w:tblStylePr>
  </w:style>
  <w:style w:type="paragraph" w:styleId="TOCHeading">
    <w:name w:val="TOC Heading"/>
    <w:basedOn w:val="Heading1"/>
    <w:next w:val="Normal"/>
    <w:uiPriority w:val="39"/>
    <w:unhideWhenUsed/>
    <w:qFormat/>
    <w:rsid w:val="00CB2680"/>
    <w:pPr>
      <w:spacing w:before="0" w:after="240"/>
      <w:outlineLvl w:val="9"/>
    </w:pPr>
    <w:rPr>
      <w:lang w:val="en-US" w:eastAsia="ja-JP"/>
    </w:rPr>
  </w:style>
  <w:style w:type="paragraph" w:styleId="TOC1">
    <w:name w:val="toc 1"/>
    <w:basedOn w:val="Normal"/>
    <w:next w:val="Normal"/>
    <w:autoRedefine/>
    <w:uiPriority w:val="39"/>
    <w:unhideWhenUsed/>
    <w:qFormat/>
    <w:rsid w:val="0063666E"/>
    <w:pPr>
      <w:tabs>
        <w:tab w:val="right" w:leader="dot" w:pos="10456"/>
      </w:tabs>
      <w:spacing w:after="100"/>
    </w:pPr>
    <w:rPr>
      <w:sz w:val="24"/>
    </w:rPr>
  </w:style>
  <w:style w:type="paragraph" w:styleId="TOC2">
    <w:name w:val="toc 2"/>
    <w:basedOn w:val="Normal"/>
    <w:next w:val="Normal"/>
    <w:autoRedefine/>
    <w:uiPriority w:val="39"/>
    <w:unhideWhenUsed/>
    <w:qFormat/>
    <w:rsid w:val="006C7D58"/>
    <w:pPr>
      <w:tabs>
        <w:tab w:val="right" w:leader="dot" w:pos="9016"/>
      </w:tabs>
      <w:spacing w:after="100"/>
      <w:ind w:left="200"/>
    </w:pPr>
    <w:rPr>
      <w:color w:val="58595B" w:themeColor="text2"/>
    </w:rPr>
  </w:style>
  <w:style w:type="paragraph" w:styleId="TOC3">
    <w:name w:val="toc 3"/>
    <w:basedOn w:val="Normal"/>
    <w:next w:val="Normal"/>
    <w:autoRedefine/>
    <w:uiPriority w:val="39"/>
    <w:unhideWhenUsed/>
    <w:qFormat/>
    <w:rsid w:val="002E14EA"/>
    <w:pPr>
      <w:spacing w:after="100"/>
      <w:ind w:left="400"/>
    </w:pPr>
  </w:style>
  <w:style w:type="paragraph" w:styleId="BalloonText">
    <w:name w:val="Balloon Text"/>
    <w:basedOn w:val="Normal"/>
    <w:link w:val="BalloonTextChar"/>
    <w:uiPriority w:val="99"/>
    <w:semiHidden/>
    <w:unhideWhenUsed/>
    <w:rsid w:val="002E14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14EA"/>
    <w:rPr>
      <w:rFonts w:ascii="Tahoma" w:hAnsi="Tahoma" w:cs="Tahoma"/>
      <w:sz w:val="16"/>
      <w:szCs w:val="16"/>
    </w:rPr>
  </w:style>
  <w:style w:type="paragraph" w:styleId="ListBullet">
    <w:name w:val="List Bullet"/>
    <w:basedOn w:val="Normal"/>
    <w:uiPriority w:val="99"/>
    <w:unhideWhenUsed/>
    <w:rsid w:val="009D7BB6"/>
    <w:pPr>
      <w:numPr>
        <w:numId w:val="1"/>
      </w:numPr>
      <w:ind w:left="284" w:hanging="284"/>
      <w:contextualSpacing/>
    </w:pPr>
  </w:style>
  <w:style w:type="paragraph" w:styleId="ListBullet2">
    <w:name w:val="List Bullet 2"/>
    <w:basedOn w:val="Normal"/>
    <w:uiPriority w:val="99"/>
    <w:unhideWhenUsed/>
    <w:rsid w:val="002F65AF"/>
    <w:pPr>
      <w:numPr>
        <w:numId w:val="2"/>
      </w:numPr>
      <w:contextualSpacing/>
    </w:pPr>
  </w:style>
  <w:style w:type="paragraph" w:styleId="Quote">
    <w:name w:val="Quote"/>
    <w:basedOn w:val="Normal"/>
    <w:next w:val="Normal"/>
    <w:link w:val="QuoteChar"/>
    <w:uiPriority w:val="29"/>
    <w:qFormat/>
    <w:rsid w:val="009D7BB6"/>
    <w:pPr>
      <w:pBdr>
        <w:top w:val="single" w:sz="4" w:space="1" w:color="1B9590" w:themeColor="accent3"/>
        <w:bottom w:val="single" w:sz="4" w:space="1" w:color="1B9590" w:themeColor="accent3"/>
      </w:pBdr>
      <w:spacing w:before="240" w:after="240"/>
    </w:pPr>
    <w:rPr>
      <w:i/>
      <w:iCs/>
      <w:color w:val="005677" w:themeColor="accent1"/>
      <w:sz w:val="24"/>
    </w:rPr>
  </w:style>
  <w:style w:type="character" w:customStyle="1" w:styleId="QuoteChar">
    <w:name w:val="Quote Char"/>
    <w:basedOn w:val="DefaultParagraphFont"/>
    <w:link w:val="Quote"/>
    <w:uiPriority w:val="29"/>
    <w:rsid w:val="009D7BB6"/>
    <w:rPr>
      <w:i/>
      <w:iCs/>
      <w:color w:val="005677" w:themeColor="accent1"/>
      <w:sz w:val="24"/>
    </w:rPr>
  </w:style>
  <w:style w:type="character" w:styleId="SubtleEmphasis">
    <w:name w:val="Subtle Emphasis"/>
    <w:basedOn w:val="DefaultParagraphFont"/>
    <w:uiPriority w:val="19"/>
    <w:rsid w:val="005D0228"/>
    <w:rPr>
      <w:i/>
      <w:iCs/>
      <w:color w:val="808080" w:themeColor="text1" w:themeTint="7F"/>
      <w:sz w:val="28"/>
    </w:rPr>
  </w:style>
  <w:style w:type="character" w:styleId="IntenseEmphasis">
    <w:name w:val="Intense Emphasis"/>
    <w:basedOn w:val="DefaultParagraphFont"/>
    <w:uiPriority w:val="21"/>
    <w:qFormat/>
    <w:rsid w:val="005D0228"/>
    <w:rPr>
      <w:b/>
      <w:bCs/>
      <w:i/>
      <w:iCs/>
      <w:color w:val="005677" w:themeColor="accent1"/>
    </w:rPr>
  </w:style>
  <w:style w:type="paragraph" w:styleId="Caption">
    <w:name w:val="caption"/>
    <w:basedOn w:val="Normal"/>
    <w:next w:val="Normal"/>
    <w:uiPriority w:val="35"/>
    <w:unhideWhenUsed/>
    <w:qFormat/>
    <w:rsid w:val="00B526AB"/>
    <w:pPr>
      <w:spacing w:after="360" w:line="240" w:lineRule="auto"/>
    </w:pPr>
    <w:rPr>
      <w:bCs/>
      <w:color w:val="005677" w:themeColor="accent1"/>
      <w:sz w:val="18"/>
      <w:szCs w:val="18"/>
    </w:rPr>
  </w:style>
  <w:style w:type="character" w:customStyle="1" w:styleId="Tabletitle">
    <w:name w:val="Table title"/>
    <w:basedOn w:val="DefaultParagraphFont"/>
    <w:uiPriority w:val="1"/>
    <w:qFormat/>
    <w:rsid w:val="00D87BC8"/>
    <w:rPr>
      <w:b/>
      <w:color w:val="005677" w:themeColor="accent1"/>
    </w:rPr>
  </w:style>
  <w:style w:type="character" w:customStyle="1" w:styleId="Figuretitle">
    <w:name w:val="Figure title"/>
    <w:basedOn w:val="Tabletitle"/>
    <w:uiPriority w:val="1"/>
    <w:qFormat/>
    <w:rsid w:val="00D87BC8"/>
    <w:rPr>
      <w:b/>
      <w:color w:val="005677" w:themeColor="accent1"/>
    </w:rPr>
  </w:style>
  <w:style w:type="paragraph" w:customStyle="1" w:styleId="Credit">
    <w:name w:val="Credit"/>
    <w:basedOn w:val="Caption"/>
    <w:qFormat/>
    <w:rsid w:val="00A51E16"/>
    <w:rPr>
      <w:color w:val="58595B" w:themeColor="text2"/>
    </w:rPr>
  </w:style>
  <w:style w:type="paragraph" w:styleId="EndnoteText">
    <w:name w:val="endnote text"/>
    <w:basedOn w:val="Normal"/>
    <w:link w:val="EndnoteTextChar"/>
    <w:uiPriority w:val="99"/>
    <w:semiHidden/>
    <w:unhideWhenUsed/>
    <w:rsid w:val="00B526AB"/>
    <w:pPr>
      <w:spacing w:after="0" w:line="240" w:lineRule="auto"/>
    </w:pPr>
    <w:rPr>
      <w:szCs w:val="20"/>
    </w:rPr>
  </w:style>
  <w:style w:type="character" w:customStyle="1" w:styleId="EndnoteTextChar">
    <w:name w:val="Endnote Text Char"/>
    <w:basedOn w:val="DefaultParagraphFont"/>
    <w:link w:val="EndnoteText"/>
    <w:uiPriority w:val="99"/>
    <w:semiHidden/>
    <w:rsid w:val="00B526AB"/>
    <w:rPr>
      <w:sz w:val="20"/>
      <w:szCs w:val="20"/>
    </w:rPr>
  </w:style>
  <w:style w:type="character" w:styleId="EndnoteReference">
    <w:name w:val="endnote reference"/>
    <w:basedOn w:val="DefaultParagraphFont"/>
    <w:uiPriority w:val="99"/>
    <w:semiHidden/>
    <w:unhideWhenUsed/>
    <w:rsid w:val="00B526AB"/>
    <w:rPr>
      <w:vertAlign w:val="superscript"/>
    </w:rPr>
  </w:style>
  <w:style w:type="paragraph" w:styleId="FootnoteText">
    <w:name w:val="footnote text"/>
    <w:aliases w:val="Footnote Text Char1 Char,Footnote Text Char Char Char,Footnote Text Char1 Char Char Char,Footnote Text Char Char Char Char Char,Footnote Text Char2 Char Char Char Char Char,Footnote Text Char1,Footnote Text Char Char,fn,5_G,Table/Chart Ref"/>
    <w:basedOn w:val="Normal"/>
    <w:link w:val="FootnoteTextChar"/>
    <w:uiPriority w:val="99"/>
    <w:unhideWhenUsed/>
    <w:rsid w:val="00B526AB"/>
    <w:pPr>
      <w:spacing w:after="60" w:line="240" w:lineRule="auto"/>
    </w:pPr>
    <w:rPr>
      <w:sz w:val="16"/>
      <w:szCs w:val="20"/>
    </w:rPr>
  </w:style>
  <w:style w:type="character" w:customStyle="1" w:styleId="FootnoteTextChar">
    <w:name w:val="Footnote Text Char"/>
    <w:aliases w:val="Footnote Text Char1 Char Char,Footnote Text Char Char Char Char,Footnote Text Char1 Char Char Char Char,Footnote Text Char Char Char Char Char Char,Footnote Text Char2 Char Char Char Char Char Char,Footnote Text Char1 Char1,fn Char"/>
    <w:basedOn w:val="DefaultParagraphFont"/>
    <w:link w:val="FootnoteText"/>
    <w:uiPriority w:val="99"/>
    <w:rsid w:val="00B526AB"/>
    <w:rPr>
      <w:sz w:val="16"/>
      <w:szCs w:val="20"/>
    </w:rPr>
  </w:style>
  <w:style w:type="character" w:styleId="FootnoteReference">
    <w:name w:val="footnote reference"/>
    <w:aliases w:val="Footnotes refss,ftref,4_G,4_G Char Char Char Char Char,Footnotes refss Char Char Char Char Char,ftref Char Char Char Char Char,BVI fnr Char Char Char Char Char,BVI fnr Car Car Char Char Char Char Char,Ref,de nota al pie,註腳內容,11 pt"/>
    <w:basedOn w:val="DefaultParagraphFont"/>
    <w:link w:val="4GCharCharCharChar"/>
    <w:uiPriority w:val="99"/>
    <w:unhideWhenUsed/>
    <w:rsid w:val="00B526AB"/>
    <w:rPr>
      <w:vertAlign w:val="superscript"/>
    </w:rPr>
  </w:style>
  <w:style w:type="paragraph" w:customStyle="1" w:styleId="Casestudy">
    <w:name w:val="Case study"/>
    <w:basedOn w:val="Normal"/>
    <w:qFormat/>
    <w:rsid w:val="00244596"/>
    <w:pPr>
      <w:pBdr>
        <w:top w:val="single" w:sz="4" w:space="4" w:color="00283E" w:themeColor="accent2"/>
        <w:left w:val="single" w:sz="4" w:space="4" w:color="00283E" w:themeColor="accent2"/>
        <w:bottom w:val="single" w:sz="4" w:space="4" w:color="00283E" w:themeColor="accent2"/>
        <w:right w:val="single" w:sz="4" w:space="4" w:color="00283E" w:themeColor="accent2"/>
      </w:pBdr>
      <w:shd w:val="clear" w:color="auto" w:fill="D1EEFF" w:themeFill="accent2" w:themeFillTint="1A"/>
      <w:ind w:left="113" w:right="113"/>
    </w:pPr>
  </w:style>
  <w:style w:type="paragraph" w:customStyle="1" w:styleId="Casestudytitle">
    <w:name w:val="Case study title"/>
    <w:basedOn w:val="Casestudy"/>
    <w:qFormat/>
    <w:rsid w:val="002D3954"/>
    <w:pPr>
      <w:spacing w:before="360"/>
    </w:pPr>
    <w:rPr>
      <w:color w:val="00283E" w:themeColor="accent2"/>
      <w:sz w:val="28"/>
    </w:rPr>
  </w:style>
  <w:style w:type="paragraph" w:customStyle="1" w:styleId="Casestudysource">
    <w:name w:val="Case study source"/>
    <w:basedOn w:val="Casestudy"/>
    <w:qFormat/>
    <w:rsid w:val="00F25F29"/>
    <w:pPr>
      <w:spacing w:before="240" w:after="480"/>
    </w:pPr>
    <w:rPr>
      <w:color w:val="00283E" w:themeColor="accent2"/>
      <w:sz w:val="16"/>
    </w:rPr>
  </w:style>
  <w:style w:type="paragraph" w:styleId="Header">
    <w:name w:val="header"/>
    <w:basedOn w:val="Normal"/>
    <w:link w:val="HeaderChar"/>
    <w:uiPriority w:val="99"/>
    <w:unhideWhenUsed/>
    <w:rsid w:val="00991FDD"/>
    <w:pPr>
      <w:tabs>
        <w:tab w:val="center" w:pos="4320"/>
        <w:tab w:val="right" w:pos="8640"/>
      </w:tabs>
      <w:spacing w:after="0" w:line="240" w:lineRule="auto"/>
    </w:pPr>
  </w:style>
  <w:style w:type="character" w:customStyle="1" w:styleId="HeaderChar">
    <w:name w:val="Header Char"/>
    <w:basedOn w:val="DefaultParagraphFont"/>
    <w:link w:val="Header"/>
    <w:uiPriority w:val="99"/>
    <w:rsid w:val="00991FDD"/>
    <w:rPr>
      <w:sz w:val="20"/>
    </w:rPr>
  </w:style>
  <w:style w:type="paragraph" w:styleId="Footer">
    <w:name w:val="footer"/>
    <w:basedOn w:val="Normal"/>
    <w:link w:val="FooterChar"/>
    <w:uiPriority w:val="99"/>
    <w:unhideWhenUsed/>
    <w:rsid w:val="00991FDD"/>
    <w:pPr>
      <w:tabs>
        <w:tab w:val="center" w:pos="4320"/>
        <w:tab w:val="right" w:pos="8640"/>
      </w:tabs>
      <w:spacing w:after="0" w:line="240" w:lineRule="auto"/>
    </w:pPr>
  </w:style>
  <w:style w:type="character" w:customStyle="1" w:styleId="FooterChar">
    <w:name w:val="Footer Char"/>
    <w:basedOn w:val="DefaultParagraphFont"/>
    <w:link w:val="Footer"/>
    <w:uiPriority w:val="99"/>
    <w:rsid w:val="00991FDD"/>
    <w:rPr>
      <w:sz w:val="20"/>
    </w:rPr>
  </w:style>
  <w:style w:type="character" w:styleId="PageNumber">
    <w:name w:val="page number"/>
    <w:basedOn w:val="DefaultParagraphFont"/>
    <w:uiPriority w:val="99"/>
    <w:semiHidden/>
    <w:unhideWhenUsed/>
    <w:rsid w:val="0031658C"/>
  </w:style>
  <w:style w:type="character" w:customStyle="1" w:styleId="Heading6Char">
    <w:name w:val="Heading 6 Char"/>
    <w:basedOn w:val="DefaultParagraphFont"/>
    <w:link w:val="Heading6"/>
    <w:uiPriority w:val="9"/>
    <w:rsid w:val="00B37916"/>
    <w:rPr>
      <w:rFonts w:asciiTheme="majorHAnsi" w:eastAsiaTheme="majorEastAsia" w:hAnsiTheme="majorHAnsi" w:cstheme="majorBidi"/>
      <w:b/>
      <w:i/>
      <w:iCs/>
      <w:color w:val="002A3B" w:themeColor="accent1" w:themeShade="7F"/>
      <w:sz w:val="20"/>
    </w:rPr>
  </w:style>
  <w:style w:type="character" w:customStyle="1" w:styleId="Heading7Char">
    <w:name w:val="Heading 7 Char"/>
    <w:basedOn w:val="DefaultParagraphFont"/>
    <w:link w:val="Heading7"/>
    <w:uiPriority w:val="9"/>
    <w:rsid w:val="003630F9"/>
    <w:rPr>
      <w:rFonts w:asciiTheme="majorHAnsi" w:eastAsiaTheme="majorEastAsia" w:hAnsiTheme="majorHAnsi" w:cstheme="majorBidi"/>
      <w:i/>
      <w:iCs/>
      <w:color w:val="404040" w:themeColor="text1" w:themeTint="BF"/>
      <w:sz w:val="20"/>
    </w:rPr>
  </w:style>
  <w:style w:type="paragraph" w:styleId="TOC4">
    <w:name w:val="toc 4"/>
    <w:basedOn w:val="Normal"/>
    <w:next w:val="Normal"/>
    <w:autoRedefine/>
    <w:uiPriority w:val="39"/>
    <w:unhideWhenUsed/>
    <w:rsid w:val="00B37916"/>
    <w:pPr>
      <w:ind w:left="600"/>
    </w:pPr>
  </w:style>
  <w:style w:type="paragraph" w:styleId="TOC5">
    <w:name w:val="toc 5"/>
    <w:basedOn w:val="Normal"/>
    <w:next w:val="Normal"/>
    <w:autoRedefine/>
    <w:uiPriority w:val="39"/>
    <w:unhideWhenUsed/>
    <w:rsid w:val="00B37916"/>
    <w:pPr>
      <w:ind w:left="800"/>
    </w:pPr>
  </w:style>
  <w:style w:type="paragraph" w:styleId="TOC6">
    <w:name w:val="toc 6"/>
    <w:basedOn w:val="Normal"/>
    <w:next w:val="Normal"/>
    <w:autoRedefine/>
    <w:uiPriority w:val="39"/>
    <w:unhideWhenUsed/>
    <w:rsid w:val="00B37916"/>
    <w:pPr>
      <w:ind w:left="1000"/>
    </w:pPr>
  </w:style>
  <w:style w:type="paragraph" w:styleId="TOC7">
    <w:name w:val="toc 7"/>
    <w:basedOn w:val="Normal"/>
    <w:next w:val="Normal"/>
    <w:autoRedefine/>
    <w:uiPriority w:val="39"/>
    <w:unhideWhenUsed/>
    <w:rsid w:val="00B37916"/>
    <w:pPr>
      <w:ind w:left="1200"/>
    </w:pPr>
  </w:style>
  <w:style w:type="paragraph" w:styleId="TOC8">
    <w:name w:val="toc 8"/>
    <w:basedOn w:val="Normal"/>
    <w:next w:val="Normal"/>
    <w:autoRedefine/>
    <w:uiPriority w:val="39"/>
    <w:unhideWhenUsed/>
    <w:rsid w:val="00B37916"/>
    <w:pPr>
      <w:ind w:left="1400"/>
    </w:pPr>
  </w:style>
  <w:style w:type="paragraph" w:styleId="TOC9">
    <w:name w:val="toc 9"/>
    <w:basedOn w:val="Normal"/>
    <w:next w:val="Normal"/>
    <w:autoRedefine/>
    <w:uiPriority w:val="39"/>
    <w:unhideWhenUsed/>
    <w:rsid w:val="00B37916"/>
    <w:pPr>
      <w:ind w:left="1600"/>
    </w:pPr>
  </w:style>
  <w:style w:type="paragraph" w:customStyle="1" w:styleId="h2CORPORATE">
    <w:name w:val="h2 (CORPORATE)"/>
    <w:basedOn w:val="Normal"/>
    <w:next w:val="Normal"/>
    <w:uiPriority w:val="99"/>
    <w:rsid w:val="005566A8"/>
    <w:pPr>
      <w:tabs>
        <w:tab w:val="left" w:pos="567"/>
      </w:tabs>
      <w:suppressAutoHyphens/>
      <w:autoSpaceDE w:val="0"/>
      <w:autoSpaceDN w:val="0"/>
      <w:adjustRightInd w:val="0"/>
      <w:spacing w:before="480" w:after="180" w:line="480" w:lineRule="atLeast"/>
      <w:textAlignment w:val="center"/>
    </w:pPr>
    <w:rPr>
      <w:rFonts w:ascii="Gotham Medium" w:hAnsi="Gotham Medium" w:cs="Gotham Medium"/>
      <w:color w:val="000000"/>
      <w:sz w:val="48"/>
      <w:szCs w:val="48"/>
      <w:lang w:val="en-GB"/>
    </w:rPr>
  </w:style>
  <w:style w:type="paragraph" w:customStyle="1" w:styleId="intro">
    <w:name w:val="intro"/>
    <w:basedOn w:val="Normal"/>
    <w:uiPriority w:val="99"/>
    <w:rsid w:val="005566A8"/>
    <w:pPr>
      <w:suppressAutoHyphens/>
      <w:autoSpaceDE w:val="0"/>
      <w:autoSpaceDN w:val="0"/>
      <w:adjustRightInd w:val="0"/>
      <w:spacing w:after="80" w:line="288" w:lineRule="auto"/>
      <w:textAlignment w:val="center"/>
    </w:pPr>
    <w:rPr>
      <w:rFonts w:ascii="Gotham Narrow Medium" w:hAnsi="Gotham Narrow Medium" w:cs="Gotham Narrow Medium"/>
      <w:color w:val="000000"/>
      <w:spacing w:val="-2"/>
      <w:sz w:val="24"/>
      <w:szCs w:val="24"/>
      <w:lang w:val="en-US"/>
    </w:rPr>
  </w:style>
  <w:style w:type="paragraph" w:customStyle="1" w:styleId="pCORPORATE">
    <w:name w:val="p (CORPORATE)"/>
    <w:basedOn w:val="Normal"/>
    <w:next w:val="Normal"/>
    <w:uiPriority w:val="99"/>
    <w:rsid w:val="005566A8"/>
    <w:pPr>
      <w:tabs>
        <w:tab w:val="left" w:pos="170"/>
      </w:tabs>
      <w:suppressAutoHyphens/>
      <w:autoSpaceDE w:val="0"/>
      <w:autoSpaceDN w:val="0"/>
      <w:adjustRightInd w:val="0"/>
      <w:spacing w:after="80" w:line="240" w:lineRule="atLeast"/>
      <w:textAlignment w:val="center"/>
    </w:pPr>
    <w:rPr>
      <w:rFonts w:ascii="Gotham Narrow Light" w:hAnsi="Gotham Narrow Light" w:cs="Gotham Narrow Light"/>
      <w:color w:val="000000"/>
      <w:sz w:val="18"/>
      <w:szCs w:val="18"/>
      <w:lang w:val="en-GB"/>
    </w:rPr>
  </w:style>
  <w:style w:type="character" w:customStyle="1" w:styleId="UnresolvedMention">
    <w:name w:val="Unresolved Mention"/>
    <w:basedOn w:val="DefaultParagraphFont"/>
    <w:uiPriority w:val="99"/>
    <w:semiHidden/>
    <w:unhideWhenUsed/>
    <w:rsid w:val="005566A8"/>
    <w:rPr>
      <w:color w:val="808080"/>
      <w:shd w:val="clear" w:color="auto" w:fill="E6E6E6"/>
    </w:rPr>
  </w:style>
  <w:style w:type="paragraph" w:styleId="ListParagraph">
    <w:name w:val="List Paragraph"/>
    <w:aliases w:val="List Paragraph1,List Paragraph11,List Paragraph2,Recommendation,Bullet 1,CV text,Dot pt,F5 List Paragraph,Indicator Text,L,List Paragraph Char Char Char,List Paragraph111,MAIN CONTENT,Normal numbered,Numbered Para 1,bullet point list,列出段落"/>
    <w:basedOn w:val="Normal"/>
    <w:link w:val="ListParagraphChar"/>
    <w:uiPriority w:val="34"/>
    <w:qFormat/>
    <w:rsid w:val="005566A8"/>
    <w:pPr>
      <w:ind w:left="720"/>
      <w:contextualSpacing/>
    </w:pPr>
  </w:style>
  <w:style w:type="paragraph" w:styleId="BodyText">
    <w:name w:val="Body Text"/>
    <w:basedOn w:val="Normal"/>
    <w:link w:val="BodyTextChar"/>
    <w:uiPriority w:val="1"/>
    <w:qFormat/>
    <w:rsid w:val="006313CC"/>
    <w:pPr>
      <w:widowControl w:val="0"/>
      <w:autoSpaceDE w:val="0"/>
      <w:autoSpaceDN w:val="0"/>
      <w:spacing w:after="0" w:line="240" w:lineRule="auto"/>
      <w:ind w:left="20"/>
    </w:pPr>
    <w:rPr>
      <w:rFonts w:ascii="Calibri" w:eastAsia="Calibri" w:hAnsi="Calibri" w:cs="Calibri"/>
      <w:sz w:val="24"/>
      <w:szCs w:val="24"/>
      <w:lang w:val="en-US"/>
    </w:rPr>
  </w:style>
  <w:style w:type="character" w:customStyle="1" w:styleId="BodyTextChar">
    <w:name w:val="Body Text Char"/>
    <w:basedOn w:val="DefaultParagraphFont"/>
    <w:link w:val="BodyText"/>
    <w:uiPriority w:val="1"/>
    <w:rsid w:val="006313CC"/>
    <w:rPr>
      <w:rFonts w:ascii="Calibri" w:eastAsia="Calibri" w:hAnsi="Calibri" w:cs="Calibri"/>
      <w:sz w:val="24"/>
      <w:szCs w:val="24"/>
      <w:lang w:val="en-US"/>
    </w:rPr>
  </w:style>
  <w:style w:type="paragraph" w:customStyle="1" w:styleId="h4CORPORATE">
    <w:name w:val="h4 (CORPORATE)"/>
    <w:basedOn w:val="Normal"/>
    <w:next w:val="Normal"/>
    <w:uiPriority w:val="99"/>
    <w:rsid w:val="00BC20EE"/>
    <w:pPr>
      <w:suppressAutoHyphens/>
      <w:autoSpaceDE w:val="0"/>
      <w:autoSpaceDN w:val="0"/>
      <w:adjustRightInd w:val="0"/>
      <w:spacing w:before="60" w:after="0" w:line="240" w:lineRule="atLeast"/>
      <w:textAlignment w:val="center"/>
    </w:pPr>
    <w:rPr>
      <w:rFonts w:ascii="Gotham Bold" w:hAnsi="Gotham Bold" w:cs="Gotham Bold"/>
      <w:b/>
      <w:bCs/>
      <w:color w:val="000000"/>
      <w:sz w:val="19"/>
      <w:szCs w:val="19"/>
      <w:lang w:val="en-GB"/>
    </w:rPr>
  </w:style>
  <w:style w:type="character" w:styleId="FollowedHyperlink">
    <w:name w:val="FollowedHyperlink"/>
    <w:basedOn w:val="DefaultParagraphFont"/>
    <w:uiPriority w:val="99"/>
    <w:semiHidden/>
    <w:unhideWhenUsed/>
    <w:rsid w:val="00BC20EE"/>
    <w:rPr>
      <w:color w:val="C973AF" w:themeColor="followedHyperlink"/>
      <w:u w:val="single"/>
    </w:rPr>
  </w:style>
  <w:style w:type="paragraph" w:customStyle="1" w:styleId="Intros">
    <w:name w:val="Intros"/>
    <w:basedOn w:val="Normal"/>
    <w:qFormat/>
    <w:rsid w:val="00BC20EE"/>
    <w:rPr>
      <w:b/>
      <w:color w:val="808080" w:themeColor="background1" w:themeShade="80"/>
      <w:sz w:val="24"/>
      <w:szCs w:val="24"/>
      <w:lang w:val="en-GB"/>
    </w:rPr>
  </w:style>
  <w:style w:type="paragraph" w:customStyle="1" w:styleId="4GCharCharCharChar">
    <w:name w:val="4_G Char Char Char Char"/>
    <w:aliases w:val="Footnotes refss Char Char Char Char,ftref Char Char Char Char,BVI fnr Char Char Char Char,BVI fnr Car Car Char Char Char Char,BVI fnr Car Char Char Char Char,BVI fnr Car Car Car Car Char Char1 Char Char"/>
    <w:basedOn w:val="Normal"/>
    <w:link w:val="FootnoteReference"/>
    <w:uiPriority w:val="99"/>
    <w:rsid w:val="00EC0908"/>
    <w:pPr>
      <w:spacing w:after="160" w:line="240" w:lineRule="exact"/>
      <w:jc w:val="both"/>
    </w:pPr>
    <w:rPr>
      <w:sz w:val="22"/>
      <w:vertAlign w:val="superscript"/>
    </w:rPr>
  </w:style>
  <w:style w:type="paragraph" w:styleId="Revision">
    <w:name w:val="Revision"/>
    <w:hidden/>
    <w:uiPriority w:val="99"/>
    <w:semiHidden/>
    <w:rsid w:val="002A2FDB"/>
    <w:pPr>
      <w:spacing w:after="0" w:line="240" w:lineRule="auto"/>
    </w:pPr>
    <w:rPr>
      <w:sz w:val="20"/>
    </w:rPr>
  </w:style>
  <w:style w:type="character" w:styleId="CommentReference">
    <w:name w:val="annotation reference"/>
    <w:basedOn w:val="DefaultParagraphFont"/>
    <w:uiPriority w:val="99"/>
    <w:semiHidden/>
    <w:unhideWhenUsed/>
    <w:rsid w:val="00C2179C"/>
    <w:rPr>
      <w:sz w:val="16"/>
      <w:szCs w:val="16"/>
    </w:rPr>
  </w:style>
  <w:style w:type="paragraph" w:styleId="CommentText">
    <w:name w:val="annotation text"/>
    <w:basedOn w:val="Normal"/>
    <w:link w:val="CommentTextChar"/>
    <w:uiPriority w:val="99"/>
    <w:unhideWhenUsed/>
    <w:rsid w:val="00C2179C"/>
    <w:pPr>
      <w:spacing w:line="240" w:lineRule="auto"/>
    </w:pPr>
    <w:rPr>
      <w:szCs w:val="20"/>
    </w:rPr>
  </w:style>
  <w:style w:type="character" w:customStyle="1" w:styleId="CommentTextChar">
    <w:name w:val="Comment Text Char"/>
    <w:basedOn w:val="DefaultParagraphFont"/>
    <w:link w:val="CommentText"/>
    <w:uiPriority w:val="99"/>
    <w:rsid w:val="00C2179C"/>
    <w:rPr>
      <w:sz w:val="20"/>
      <w:szCs w:val="20"/>
    </w:rPr>
  </w:style>
  <w:style w:type="paragraph" w:styleId="CommentSubject">
    <w:name w:val="annotation subject"/>
    <w:basedOn w:val="CommentText"/>
    <w:next w:val="CommentText"/>
    <w:link w:val="CommentSubjectChar"/>
    <w:uiPriority w:val="99"/>
    <w:semiHidden/>
    <w:unhideWhenUsed/>
    <w:rsid w:val="00C2179C"/>
    <w:rPr>
      <w:b/>
      <w:bCs/>
    </w:rPr>
  </w:style>
  <w:style w:type="character" w:customStyle="1" w:styleId="CommentSubjectChar">
    <w:name w:val="Comment Subject Char"/>
    <w:basedOn w:val="CommentTextChar"/>
    <w:link w:val="CommentSubject"/>
    <w:uiPriority w:val="99"/>
    <w:semiHidden/>
    <w:rsid w:val="00C2179C"/>
    <w:rPr>
      <w:b/>
      <w:bCs/>
      <w:sz w:val="20"/>
      <w:szCs w:val="20"/>
    </w:rPr>
  </w:style>
  <w:style w:type="paragraph" w:styleId="NormalWeb">
    <w:name w:val="Normal (Web)"/>
    <w:basedOn w:val="Normal"/>
    <w:uiPriority w:val="99"/>
    <w:semiHidden/>
    <w:unhideWhenUsed/>
    <w:rsid w:val="0045260B"/>
    <w:pPr>
      <w:spacing w:before="100" w:after="100" w:line="384" w:lineRule="atLeast"/>
    </w:pPr>
    <w:rPr>
      <w:rFonts w:ascii="Times New Roman" w:eastAsia="Times New Roman" w:hAnsi="Times New Roman" w:cs="Times New Roman"/>
      <w:sz w:val="24"/>
      <w:szCs w:val="24"/>
      <w:lang w:eastAsia="en-AU"/>
    </w:rPr>
  </w:style>
  <w:style w:type="paragraph" w:customStyle="1" w:styleId="Default">
    <w:name w:val="Default"/>
    <w:rsid w:val="00295053"/>
    <w:pPr>
      <w:autoSpaceDE w:val="0"/>
      <w:autoSpaceDN w:val="0"/>
      <w:adjustRightInd w:val="0"/>
      <w:spacing w:after="0" w:line="240" w:lineRule="auto"/>
    </w:pPr>
    <w:rPr>
      <w:rFonts w:ascii="Calibri" w:hAnsi="Calibri" w:cs="Calibri"/>
      <w:color w:val="000000"/>
      <w:sz w:val="24"/>
      <w:szCs w:val="24"/>
    </w:rPr>
  </w:style>
  <w:style w:type="character" w:customStyle="1" w:styleId="charsectno">
    <w:name w:val="charsectno"/>
    <w:basedOn w:val="DefaultParagraphFont"/>
    <w:rsid w:val="00295053"/>
  </w:style>
  <w:style w:type="paragraph" w:customStyle="1" w:styleId="subsection">
    <w:name w:val="subsection"/>
    <w:aliases w:val="ss"/>
    <w:basedOn w:val="Normal"/>
    <w:link w:val="subsectionChar"/>
    <w:rsid w:val="00295053"/>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paragraph">
    <w:name w:val="paragraph"/>
    <w:aliases w:val="a"/>
    <w:basedOn w:val="Normal"/>
    <w:rsid w:val="00295053"/>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subsection2">
    <w:name w:val="subsection2"/>
    <w:aliases w:val="ss2"/>
    <w:basedOn w:val="Normal"/>
    <w:rsid w:val="00295053"/>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Quotation">
    <w:name w:val="Quotation"/>
    <w:basedOn w:val="Normal"/>
    <w:uiPriority w:val="9"/>
    <w:semiHidden/>
    <w:rsid w:val="00EB3F2C"/>
    <w:pPr>
      <w:numPr>
        <w:numId w:val="4"/>
      </w:numPr>
      <w:spacing w:after="140" w:line="260" w:lineRule="atLeast"/>
    </w:pPr>
    <w:rPr>
      <w:rFonts w:ascii="Arial" w:eastAsia="Times New Roman" w:hAnsi="Arial" w:cs="Arial"/>
      <w:lang w:eastAsia="en-AU"/>
    </w:rPr>
  </w:style>
  <w:style w:type="paragraph" w:customStyle="1" w:styleId="Quotation1">
    <w:name w:val="Quotation 1"/>
    <w:aliases w:val="&quot;Q&quot;"/>
    <w:basedOn w:val="Normal"/>
    <w:link w:val="Quotation1Char"/>
    <w:uiPriority w:val="9"/>
    <w:qFormat/>
    <w:rsid w:val="00EB3F2C"/>
    <w:pPr>
      <w:numPr>
        <w:ilvl w:val="1"/>
        <w:numId w:val="4"/>
      </w:numPr>
      <w:spacing w:after="140" w:line="260" w:lineRule="atLeast"/>
    </w:pPr>
    <w:rPr>
      <w:rFonts w:ascii="Arial" w:eastAsia="Times New Roman" w:hAnsi="Arial" w:cs="Arial"/>
      <w:lang w:eastAsia="en-AU"/>
    </w:rPr>
  </w:style>
  <w:style w:type="paragraph" w:customStyle="1" w:styleId="Quotation2">
    <w:name w:val="Quotation 2"/>
    <w:basedOn w:val="Normal"/>
    <w:uiPriority w:val="9"/>
    <w:semiHidden/>
    <w:rsid w:val="00EB3F2C"/>
    <w:pPr>
      <w:numPr>
        <w:ilvl w:val="2"/>
        <w:numId w:val="4"/>
      </w:numPr>
      <w:spacing w:after="140" w:line="260" w:lineRule="atLeast"/>
    </w:pPr>
    <w:rPr>
      <w:rFonts w:ascii="Arial" w:eastAsia="Times New Roman" w:hAnsi="Arial" w:cs="Arial"/>
      <w:lang w:eastAsia="en-AU"/>
    </w:rPr>
  </w:style>
  <w:style w:type="paragraph" w:customStyle="1" w:styleId="Quotation3">
    <w:name w:val="Quotation 3"/>
    <w:basedOn w:val="Normal"/>
    <w:uiPriority w:val="9"/>
    <w:semiHidden/>
    <w:rsid w:val="00EB3F2C"/>
    <w:pPr>
      <w:numPr>
        <w:ilvl w:val="3"/>
        <w:numId w:val="4"/>
      </w:numPr>
      <w:spacing w:after="140" w:line="260" w:lineRule="atLeast"/>
    </w:pPr>
    <w:rPr>
      <w:rFonts w:ascii="Arial" w:eastAsia="Times New Roman" w:hAnsi="Arial" w:cs="Arial"/>
      <w:lang w:eastAsia="en-AU"/>
    </w:rPr>
  </w:style>
  <w:style w:type="paragraph" w:customStyle="1" w:styleId="Quotation4">
    <w:name w:val="Quotation 4"/>
    <w:basedOn w:val="Normal"/>
    <w:uiPriority w:val="9"/>
    <w:semiHidden/>
    <w:rsid w:val="00EB3F2C"/>
    <w:pPr>
      <w:numPr>
        <w:ilvl w:val="4"/>
        <w:numId w:val="4"/>
      </w:numPr>
      <w:spacing w:after="140" w:line="260" w:lineRule="atLeast"/>
    </w:pPr>
    <w:rPr>
      <w:rFonts w:ascii="Arial" w:eastAsia="Times New Roman" w:hAnsi="Arial" w:cs="Arial"/>
      <w:lang w:eastAsia="en-AU"/>
    </w:rPr>
  </w:style>
  <w:style w:type="paragraph" w:customStyle="1" w:styleId="Quotation5">
    <w:name w:val="Quotation 5"/>
    <w:basedOn w:val="Normal"/>
    <w:uiPriority w:val="9"/>
    <w:semiHidden/>
    <w:rsid w:val="00EB3F2C"/>
    <w:pPr>
      <w:numPr>
        <w:ilvl w:val="5"/>
        <w:numId w:val="4"/>
      </w:numPr>
      <w:spacing w:after="140" w:line="260" w:lineRule="atLeast"/>
    </w:pPr>
    <w:rPr>
      <w:rFonts w:ascii="Arial" w:eastAsia="Times New Roman" w:hAnsi="Arial" w:cs="Arial"/>
      <w:lang w:eastAsia="en-AU"/>
    </w:rPr>
  </w:style>
  <w:style w:type="paragraph" w:customStyle="1" w:styleId="Quotation6">
    <w:name w:val="Quotation 6"/>
    <w:basedOn w:val="Normal"/>
    <w:uiPriority w:val="9"/>
    <w:semiHidden/>
    <w:rsid w:val="00EB3F2C"/>
    <w:pPr>
      <w:numPr>
        <w:ilvl w:val="6"/>
        <w:numId w:val="4"/>
      </w:numPr>
      <w:spacing w:after="140" w:line="260" w:lineRule="atLeast"/>
    </w:pPr>
    <w:rPr>
      <w:rFonts w:ascii="Arial" w:eastAsia="Times New Roman" w:hAnsi="Arial" w:cs="Arial"/>
      <w:lang w:eastAsia="en-AU"/>
    </w:rPr>
  </w:style>
  <w:style w:type="paragraph" w:customStyle="1" w:styleId="Quotation7">
    <w:name w:val="Quotation 7"/>
    <w:basedOn w:val="Normal"/>
    <w:uiPriority w:val="9"/>
    <w:semiHidden/>
    <w:rsid w:val="00EB3F2C"/>
    <w:pPr>
      <w:numPr>
        <w:ilvl w:val="7"/>
        <w:numId w:val="4"/>
      </w:numPr>
      <w:spacing w:after="140" w:line="260" w:lineRule="atLeast"/>
    </w:pPr>
    <w:rPr>
      <w:rFonts w:ascii="Arial" w:eastAsia="Times New Roman" w:hAnsi="Arial" w:cs="Arial"/>
      <w:lang w:eastAsia="en-AU"/>
    </w:rPr>
  </w:style>
  <w:style w:type="paragraph" w:customStyle="1" w:styleId="Quotation8">
    <w:name w:val="Quotation 8"/>
    <w:basedOn w:val="Normal"/>
    <w:uiPriority w:val="9"/>
    <w:semiHidden/>
    <w:rsid w:val="00EB3F2C"/>
    <w:pPr>
      <w:numPr>
        <w:ilvl w:val="8"/>
        <w:numId w:val="4"/>
      </w:numPr>
      <w:spacing w:after="140" w:line="260" w:lineRule="atLeast"/>
    </w:pPr>
    <w:rPr>
      <w:rFonts w:ascii="Arial" w:eastAsia="Times New Roman" w:hAnsi="Arial" w:cs="Arial"/>
      <w:lang w:eastAsia="en-AU"/>
    </w:rPr>
  </w:style>
  <w:style w:type="paragraph" w:customStyle="1" w:styleId="NumberLevel1">
    <w:name w:val="Number Level 1"/>
    <w:aliases w:val="N1,hea Level 1"/>
    <w:basedOn w:val="Normal"/>
    <w:link w:val="NumberLevel1Char"/>
    <w:qFormat/>
    <w:rsid w:val="00EB3F2C"/>
    <w:pPr>
      <w:numPr>
        <w:numId w:val="3"/>
      </w:numPr>
      <w:tabs>
        <w:tab w:val="clear" w:pos="1702"/>
        <w:tab w:val="num" w:pos="709"/>
      </w:tabs>
      <w:spacing w:before="140" w:after="140" w:line="280" w:lineRule="atLeast"/>
      <w:ind w:left="0"/>
    </w:pPr>
    <w:rPr>
      <w:rFonts w:ascii="Arial" w:eastAsia="Times New Roman" w:hAnsi="Arial" w:cs="Arial"/>
      <w:sz w:val="22"/>
      <w:lang w:eastAsia="en-AU"/>
    </w:rPr>
  </w:style>
  <w:style w:type="paragraph" w:customStyle="1" w:styleId="NumberLevel2">
    <w:name w:val="Number Level 2"/>
    <w:aliases w:val="N2"/>
    <w:basedOn w:val="Normal"/>
    <w:qFormat/>
    <w:rsid w:val="00EB3F2C"/>
    <w:pPr>
      <w:numPr>
        <w:ilvl w:val="1"/>
        <w:numId w:val="3"/>
      </w:numPr>
      <w:spacing w:before="140" w:after="140" w:line="280" w:lineRule="atLeast"/>
    </w:pPr>
    <w:rPr>
      <w:rFonts w:ascii="Arial" w:eastAsia="Times New Roman" w:hAnsi="Arial" w:cs="Arial"/>
      <w:sz w:val="22"/>
      <w:lang w:eastAsia="en-AU"/>
    </w:rPr>
  </w:style>
  <w:style w:type="paragraph" w:customStyle="1" w:styleId="NumberLevel3">
    <w:name w:val="Number Level 3"/>
    <w:aliases w:val="N3"/>
    <w:basedOn w:val="Normal"/>
    <w:qFormat/>
    <w:rsid w:val="00EB3F2C"/>
    <w:pPr>
      <w:numPr>
        <w:ilvl w:val="2"/>
        <w:numId w:val="3"/>
      </w:numPr>
      <w:spacing w:before="140" w:after="140" w:line="280" w:lineRule="atLeast"/>
    </w:pPr>
    <w:rPr>
      <w:rFonts w:ascii="Arial" w:eastAsia="Times New Roman" w:hAnsi="Arial" w:cs="Arial"/>
      <w:sz w:val="22"/>
      <w:lang w:eastAsia="en-AU"/>
    </w:rPr>
  </w:style>
  <w:style w:type="paragraph" w:customStyle="1" w:styleId="NumberLevel4">
    <w:name w:val="Number Level 4"/>
    <w:aliases w:val="N4"/>
    <w:basedOn w:val="Normal"/>
    <w:qFormat/>
    <w:rsid w:val="00EB3F2C"/>
    <w:pPr>
      <w:numPr>
        <w:ilvl w:val="3"/>
        <w:numId w:val="3"/>
      </w:numPr>
      <w:spacing w:after="140" w:line="280" w:lineRule="atLeast"/>
    </w:pPr>
    <w:rPr>
      <w:rFonts w:ascii="Arial" w:eastAsia="Times New Roman" w:hAnsi="Arial" w:cs="Arial"/>
      <w:sz w:val="22"/>
      <w:lang w:eastAsia="en-AU"/>
    </w:rPr>
  </w:style>
  <w:style w:type="paragraph" w:customStyle="1" w:styleId="NumberLevel5">
    <w:name w:val="Number Level 5"/>
    <w:aliases w:val="N5"/>
    <w:basedOn w:val="Normal"/>
    <w:rsid w:val="00EB3F2C"/>
    <w:pPr>
      <w:numPr>
        <w:ilvl w:val="4"/>
        <w:numId w:val="3"/>
      </w:numPr>
      <w:spacing w:after="140" w:line="280" w:lineRule="atLeast"/>
    </w:pPr>
    <w:rPr>
      <w:rFonts w:ascii="Arial" w:eastAsia="Times New Roman" w:hAnsi="Arial" w:cs="Arial"/>
      <w:sz w:val="22"/>
      <w:lang w:eastAsia="en-AU"/>
    </w:rPr>
  </w:style>
  <w:style w:type="paragraph" w:customStyle="1" w:styleId="NumberLevel6">
    <w:name w:val="Number Level 6"/>
    <w:basedOn w:val="NumberLevel5"/>
    <w:rsid w:val="00EB3F2C"/>
    <w:pPr>
      <w:numPr>
        <w:ilvl w:val="5"/>
      </w:numPr>
    </w:pPr>
  </w:style>
  <w:style w:type="paragraph" w:customStyle="1" w:styleId="NumberLevel7">
    <w:name w:val="Number Level 7"/>
    <w:basedOn w:val="NumberLevel6"/>
    <w:rsid w:val="00EB3F2C"/>
    <w:pPr>
      <w:numPr>
        <w:ilvl w:val="6"/>
      </w:numPr>
    </w:pPr>
  </w:style>
  <w:style w:type="paragraph" w:customStyle="1" w:styleId="NumberLevel8">
    <w:name w:val="Number Level 8"/>
    <w:basedOn w:val="NumberLevel7"/>
    <w:rsid w:val="00EB3F2C"/>
    <w:pPr>
      <w:numPr>
        <w:ilvl w:val="7"/>
      </w:numPr>
    </w:pPr>
  </w:style>
  <w:style w:type="paragraph" w:customStyle="1" w:styleId="NumberLevel9">
    <w:name w:val="Number Level 9"/>
    <w:basedOn w:val="NumberLevel8"/>
    <w:rsid w:val="00EB3F2C"/>
    <w:pPr>
      <w:numPr>
        <w:ilvl w:val="8"/>
      </w:numPr>
    </w:pPr>
  </w:style>
  <w:style w:type="character" w:customStyle="1" w:styleId="NumberLevel1Char">
    <w:name w:val="Number Level 1 Char"/>
    <w:basedOn w:val="DefaultParagraphFont"/>
    <w:link w:val="NumberLevel1"/>
    <w:locked/>
    <w:rsid w:val="00EB3F2C"/>
    <w:rPr>
      <w:rFonts w:ascii="Arial" w:eastAsia="Times New Roman" w:hAnsi="Arial" w:cs="Arial"/>
      <w:lang w:eastAsia="en-AU"/>
    </w:rPr>
  </w:style>
  <w:style w:type="character" w:customStyle="1" w:styleId="Quotation1Char">
    <w:name w:val="Quotation 1 Char"/>
    <w:basedOn w:val="DefaultParagraphFont"/>
    <w:link w:val="Quotation1"/>
    <w:uiPriority w:val="9"/>
    <w:locked/>
    <w:rsid w:val="00EB3F2C"/>
    <w:rPr>
      <w:rFonts w:ascii="Arial" w:eastAsia="Times New Roman" w:hAnsi="Arial" w:cs="Arial"/>
      <w:sz w:val="20"/>
      <w:lang w:eastAsia="en-AU"/>
    </w:rPr>
  </w:style>
  <w:style w:type="paragraph" w:customStyle="1" w:styleId="txt12ptg">
    <w:name w:val="txt12ptg"/>
    <w:basedOn w:val="Normal"/>
    <w:rsid w:val="00B20F48"/>
    <w:pPr>
      <w:spacing w:before="100" w:beforeAutospacing="1" w:after="100" w:afterAutospacing="1" w:line="240" w:lineRule="auto"/>
      <w:jc w:val="both"/>
    </w:pPr>
    <w:rPr>
      <w:rFonts w:ascii="Verdana" w:eastAsia="Times New Roman" w:hAnsi="Verdana" w:cs="Times New Roman"/>
      <w:b/>
      <w:bCs/>
      <w:color w:val="193B7F"/>
      <w:szCs w:val="20"/>
      <w:lang w:eastAsia="en-AU"/>
    </w:rPr>
  </w:style>
  <w:style w:type="paragraph" w:customStyle="1" w:styleId="Definition">
    <w:name w:val="Definition"/>
    <w:aliases w:val="dd"/>
    <w:basedOn w:val="Normal"/>
    <w:rsid w:val="003A4382"/>
    <w:pPr>
      <w:spacing w:before="180" w:after="0" w:line="240" w:lineRule="auto"/>
      <w:ind w:left="1134"/>
    </w:pPr>
    <w:rPr>
      <w:rFonts w:ascii="Times New Roman" w:eastAsia="Times New Roman" w:hAnsi="Times New Roman" w:cs="Times New Roman"/>
      <w:sz w:val="22"/>
      <w:szCs w:val="20"/>
      <w:lang w:eastAsia="en-AU"/>
    </w:rPr>
  </w:style>
  <w:style w:type="paragraph" w:customStyle="1" w:styleId="paragraphsub">
    <w:name w:val="paragraph(sub)"/>
    <w:aliases w:val="aa"/>
    <w:basedOn w:val="Normal"/>
    <w:rsid w:val="003A4382"/>
    <w:pPr>
      <w:tabs>
        <w:tab w:val="right" w:pos="1985"/>
      </w:tabs>
      <w:spacing w:before="40" w:after="0" w:line="240" w:lineRule="auto"/>
      <w:ind w:left="2098" w:hanging="2098"/>
    </w:pPr>
    <w:rPr>
      <w:rFonts w:ascii="Times New Roman" w:eastAsia="Times New Roman" w:hAnsi="Times New Roman" w:cs="Times New Roman"/>
      <w:sz w:val="22"/>
      <w:szCs w:val="20"/>
      <w:lang w:eastAsia="en-AU"/>
    </w:rPr>
  </w:style>
  <w:style w:type="character" w:customStyle="1" w:styleId="Medium">
    <w:name w:val="Medium"/>
    <w:basedOn w:val="DefaultParagraphFont"/>
    <w:uiPriority w:val="99"/>
    <w:rsid w:val="00E907AA"/>
  </w:style>
  <w:style w:type="table" w:styleId="TableList6">
    <w:name w:val="Table List 6"/>
    <w:basedOn w:val="TableNormal"/>
    <w:rsid w:val="009F6918"/>
    <w:pPr>
      <w:spacing w:after="0" w:line="240" w:lineRule="auto"/>
    </w:pPr>
    <w:rPr>
      <w:rFonts w:ascii="Times New Roman" w:eastAsia="Times New Roman" w:hAnsi="Times New Roman" w:cs="Times New Roman"/>
      <w:sz w:val="20"/>
      <w:szCs w:val="20"/>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character" w:customStyle="1" w:styleId="ListParagraphChar">
    <w:name w:val="List Paragraph Char"/>
    <w:aliases w:val="List Paragraph1 Char,List Paragraph11 Char,List Paragraph2 Char,Recommendation Char,Bullet 1 Char,CV text Char,Dot pt Char,F5 List Paragraph Char,Indicator Text Char,L Char,List Paragraph Char Char Char Char,List Paragraph111 Char"/>
    <w:basedOn w:val="DefaultParagraphFont"/>
    <w:link w:val="ListParagraph"/>
    <w:uiPriority w:val="34"/>
    <w:locked/>
    <w:rsid w:val="00C62FBB"/>
    <w:rPr>
      <w:sz w:val="20"/>
    </w:rPr>
  </w:style>
  <w:style w:type="table" w:styleId="TableGridLight">
    <w:name w:val="Grid Table Light"/>
    <w:basedOn w:val="TableNormal"/>
    <w:uiPriority w:val="40"/>
    <w:rsid w:val="0065152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ctHead5">
    <w:name w:val="ActHead 5"/>
    <w:aliases w:val="s"/>
    <w:basedOn w:val="Normal"/>
    <w:next w:val="subsection"/>
    <w:qFormat/>
    <w:rsid w:val="0065152F"/>
    <w:pPr>
      <w:keepNext/>
      <w:keepLines/>
      <w:spacing w:before="280" w:after="0" w:line="240" w:lineRule="auto"/>
      <w:ind w:left="1134" w:hanging="1134"/>
      <w:outlineLvl w:val="4"/>
    </w:pPr>
    <w:rPr>
      <w:rFonts w:ascii="Times New Roman" w:eastAsia="Times New Roman" w:hAnsi="Times New Roman" w:cs="Times New Roman"/>
      <w:b/>
      <w:kern w:val="28"/>
      <w:sz w:val="24"/>
      <w:szCs w:val="20"/>
      <w:lang w:eastAsia="en-AU"/>
    </w:rPr>
  </w:style>
  <w:style w:type="character" w:customStyle="1" w:styleId="CharSectno0">
    <w:name w:val="CharSectno"/>
    <w:basedOn w:val="DefaultParagraphFont"/>
    <w:qFormat/>
    <w:rsid w:val="0065152F"/>
  </w:style>
  <w:style w:type="paragraph" w:customStyle="1" w:styleId="ldclauseheading">
    <w:name w:val="ldclauseheading"/>
    <w:basedOn w:val="Normal"/>
    <w:rsid w:val="0065152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dclause">
    <w:name w:val="ldclause"/>
    <w:basedOn w:val="Normal"/>
    <w:rsid w:val="0065152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dnote">
    <w:name w:val="ldnote"/>
    <w:basedOn w:val="Normal"/>
    <w:rsid w:val="0065152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dp1a">
    <w:name w:val="ldp1a"/>
    <w:basedOn w:val="Normal"/>
    <w:rsid w:val="0065152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dp2i">
    <w:name w:val="ldp2i"/>
    <w:basedOn w:val="Normal"/>
    <w:rsid w:val="0065152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ldtitle">
    <w:name w:val="ldtitle"/>
    <w:basedOn w:val="Normal"/>
    <w:rsid w:val="0065152F"/>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SubsectionHead">
    <w:name w:val="SubsectionHead"/>
    <w:aliases w:val="ssh"/>
    <w:basedOn w:val="Normal"/>
    <w:next w:val="subsection"/>
    <w:rsid w:val="0065152F"/>
    <w:pPr>
      <w:keepNext/>
      <w:keepLines/>
      <w:spacing w:before="240" w:after="0" w:line="240" w:lineRule="auto"/>
      <w:ind w:left="1134"/>
    </w:pPr>
    <w:rPr>
      <w:rFonts w:ascii="Times New Roman" w:eastAsia="Times New Roman" w:hAnsi="Times New Roman" w:cs="Times New Roman"/>
      <w:i/>
      <w:sz w:val="22"/>
      <w:szCs w:val="20"/>
      <w:lang w:eastAsia="en-AU"/>
    </w:rPr>
  </w:style>
  <w:style w:type="character" w:customStyle="1" w:styleId="subsectionChar">
    <w:name w:val="subsection Char"/>
    <w:aliases w:val="ss Char"/>
    <w:basedOn w:val="DefaultParagraphFont"/>
    <w:link w:val="subsection"/>
    <w:locked/>
    <w:rsid w:val="0065152F"/>
    <w:rPr>
      <w:rFonts w:ascii="Times New Roman" w:eastAsia="Times New Roman" w:hAnsi="Times New Roman" w:cs="Times New Roman"/>
      <w:sz w:val="24"/>
      <w:szCs w:val="24"/>
      <w:lang w:eastAsia="en-AU"/>
    </w:rPr>
  </w:style>
  <w:style w:type="table" w:styleId="GridTable2-Accent5">
    <w:name w:val="Grid Table 2 Accent 5"/>
    <w:basedOn w:val="TableNormal"/>
    <w:uiPriority w:val="47"/>
    <w:rsid w:val="00303A41"/>
    <w:pPr>
      <w:spacing w:after="0" w:line="240" w:lineRule="auto"/>
    </w:pPr>
    <w:tblPr>
      <w:tblStyleRowBandSize w:val="1"/>
      <w:tblStyleColBandSize w:val="1"/>
      <w:tblBorders>
        <w:top w:val="single" w:sz="2" w:space="0" w:color="C3E8EC" w:themeColor="accent5" w:themeTint="99"/>
        <w:bottom w:val="single" w:sz="2" w:space="0" w:color="C3E8EC" w:themeColor="accent5" w:themeTint="99"/>
        <w:insideH w:val="single" w:sz="2" w:space="0" w:color="C3E8EC" w:themeColor="accent5" w:themeTint="99"/>
        <w:insideV w:val="single" w:sz="2" w:space="0" w:color="C3E8EC" w:themeColor="accent5" w:themeTint="99"/>
      </w:tblBorders>
    </w:tblPr>
    <w:tblStylePr w:type="firstRow">
      <w:rPr>
        <w:b/>
        <w:bCs/>
      </w:rPr>
      <w:tblPr/>
      <w:tcPr>
        <w:tcBorders>
          <w:top w:val="nil"/>
          <w:bottom w:val="single" w:sz="12" w:space="0" w:color="C3E8EC" w:themeColor="accent5" w:themeTint="99"/>
          <w:insideH w:val="nil"/>
          <w:insideV w:val="nil"/>
        </w:tcBorders>
        <w:shd w:val="clear" w:color="auto" w:fill="FFFFFF" w:themeFill="background1"/>
      </w:tcPr>
    </w:tblStylePr>
    <w:tblStylePr w:type="lastRow">
      <w:rPr>
        <w:b/>
        <w:bCs/>
      </w:rPr>
      <w:tblPr/>
      <w:tcPr>
        <w:tcBorders>
          <w:top w:val="double" w:sz="2" w:space="0" w:color="C3E8E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F7F8" w:themeFill="accent5" w:themeFillTint="33"/>
      </w:tcPr>
    </w:tblStylePr>
    <w:tblStylePr w:type="band1Horz">
      <w:tblPr/>
      <w:tcPr>
        <w:shd w:val="clear" w:color="auto" w:fill="EBF7F8" w:themeFill="accent5" w:themeFillTint="33"/>
      </w:tcPr>
    </w:tblStylePr>
  </w:style>
  <w:style w:type="paragraph" w:customStyle="1" w:styleId="numberlevel10">
    <w:name w:val="numberlevel1"/>
    <w:basedOn w:val="Normal"/>
    <w:rsid w:val="008C498C"/>
    <w:pPr>
      <w:spacing w:before="100" w:beforeAutospacing="1" w:after="100" w:afterAutospacing="1" w:line="240" w:lineRule="auto"/>
    </w:pPr>
    <w:rPr>
      <w:rFonts w:ascii="Times New Roman" w:hAnsi="Times New Roman" w:cs="Times New Roman"/>
      <w:sz w:val="24"/>
      <w:szCs w:val="24"/>
      <w:lang w:eastAsia="en-AU"/>
    </w:rPr>
  </w:style>
  <w:style w:type="character" w:customStyle="1" w:styleId="ilfuvd">
    <w:name w:val="ilfuvd"/>
    <w:basedOn w:val="DefaultParagraphFont"/>
    <w:rsid w:val="0038180F"/>
  </w:style>
  <w:style w:type="paragraph" w:customStyle="1" w:styleId="acthead50">
    <w:name w:val="acthead5"/>
    <w:basedOn w:val="Normal"/>
    <w:rsid w:val="00CF1EF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copyright">
    <w:name w:val="copyright"/>
    <w:basedOn w:val="DefaultParagraphFont"/>
    <w:rsid w:val="008E3175"/>
  </w:style>
  <w:style w:type="character" w:customStyle="1" w:styleId="query">
    <w:name w:val="query"/>
    <w:basedOn w:val="DefaultParagraphFont"/>
    <w:rsid w:val="00B70E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3685">
      <w:bodyDiv w:val="1"/>
      <w:marLeft w:val="0"/>
      <w:marRight w:val="0"/>
      <w:marTop w:val="0"/>
      <w:marBottom w:val="0"/>
      <w:divBdr>
        <w:top w:val="none" w:sz="0" w:space="0" w:color="auto"/>
        <w:left w:val="none" w:sz="0" w:space="0" w:color="auto"/>
        <w:bottom w:val="none" w:sz="0" w:space="0" w:color="auto"/>
        <w:right w:val="none" w:sz="0" w:space="0" w:color="auto"/>
      </w:divBdr>
    </w:div>
    <w:div w:id="197351313">
      <w:bodyDiv w:val="1"/>
      <w:marLeft w:val="0"/>
      <w:marRight w:val="0"/>
      <w:marTop w:val="0"/>
      <w:marBottom w:val="0"/>
      <w:divBdr>
        <w:top w:val="none" w:sz="0" w:space="0" w:color="auto"/>
        <w:left w:val="none" w:sz="0" w:space="0" w:color="auto"/>
        <w:bottom w:val="none" w:sz="0" w:space="0" w:color="auto"/>
        <w:right w:val="none" w:sz="0" w:space="0" w:color="auto"/>
      </w:divBdr>
      <w:divsChild>
        <w:div w:id="315304456">
          <w:marLeft w:val="0"/>
          <w:marRight w:val="0"/>
          <w:marTop w:val="0"/>
          <w:marBottom w:val="0"/>
          <w:divBdr>
            <w:top w:val="none" w:sz="0" w:space="0" w:color="auto"/>
            <w:left w:val="none" w:sz="0" w:space="0" w:color="auto"/>
            <w:bottom w:val="none" w:sz="0" w:space="0" w:color="auto"/>
            <w:right w:val="none" w:sz="0" w:space="0" w:color="auto"/>
          </w:divBdr>
          <w:divsChild>
            <w:div w:id="942490235">
              <w:marLeft w:val="-225"/>
              <w:marRight w:val="-225"/>
              <w:marTop w:val="0"/>
              <w:marBottom w:val="0"/>
              <w:divBdr>
                <w:top w:val="none" w:sz="0" w:space="0" w:color="auto"/>
                <w:left w:val="none" w:sz="0" w:space="0" w:color="auto"/>
                <w:bottom w:val="none" w:sz="0" w:space="0" w:color="auto"/>
                <w:right w:val="none" w:sz="0" w:space="0" w:color="auto"/>
              </w:divBdr>
              <w:divsChild>
                <w:div w:id="1649436384">
                  <w:marLeft w:val="0"/>
                  <w:marRight w:val="0"/>
                  <w:marTop w:val="0"/>
                  <w:marBottom w:val="0"/>
                  <w:divBdr>
                    <w:top w:val="none" w:sz="0" w:space="0" w:color="auto"/>
                    <w:left w:val="none" w:sz="0" w:space="0" w:color="auto"/>
                    <w:bottom w:val="none" w:sz="0" w:space="0" w:color="auto"/>
                    <w:right w:val="none" w:sz="0" w:space="0" w:color="auto"/>
                  </w:divBdr>
                  <w:divsChild>
                    <w:div w:id="38537958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308480915">
      <w:bodyDiv w:val="1"/>
      <w:marLeft w:val="0"/>
      <w:marRight w:val="0"/>
      <w:marTop w:val="0"/>
      <w:marBottom w:val="0"/>
      <w:divBdr>
        <w:top w:val="none" w:sz="0" w:space="0" w:color="auto"/>
        <w:left w:val="none" w:sz="0" w:space="0" w:color="auto"/>
        <w:bottom w:val="none" w:sz="0" w:space="0" w:color="auto"/>
        <w:right w:val="none" w:sz="0" w:space="0" w:color="auto"/>
      </w:divBdr>
    </w:div>
    <w:div w:id="374045427">
      <w:bodyDiv w:val="1"/>
      <w:marLeft w:val="0"/>
      <w:marRight w:val="0"/>
      <w:marTop w:val="0"/>
      <w:marBottom w:val="0"/>
      <w:divBdr>
        <w:top w:val="none" w:sz="0" w:space="0" w:color="auto"/>
        <w:left w:val="none" w:sz="0" w:space="0" w:color="auto"/>
        <w:bottom w:val="none" w:sz="0" w:space="0" w:color="auto"/>
        <w:right w:val="none" w:sz="0" w:space="0" w:color="auto"/>
      </w:divBdr>
    </w:div>
    <w:div w:id="478546386">
      <w:bodyDiv w:val="1"/>
      <w:marLeft w:val="0"/>
      <w:marRight w:val="0"/>
      <w:marTop w:val="0"/>
      <w:marBottom w:val="0"/>
      <w:divBdr>
        <w:top w:val="none" w:sz="0" w:space="0" w:color="auto"/>
        <w:left w:val="none" w:sz="0" w:space="0" w:color="auto"/>
        <w:bottom w:val="none" w:sz="0" w:space="0" w:color="auto"/>
        <w:right w:val="none" w:sz="0" w:space="0" w:color="auto"/>
      </w:divBdr>
    </w:div>
    <w:div w:id="511064844">
      <w:bodyDiv w:val="1"/>
      <w:marLeft w:val="0"/>
      <w:marRight w:val="0"/>
      <w:marTop w:val="0"/>
      <w:marBottom w:val="0"/>
      <w:divBdr>
        <w:top w:val="none" w:sz="0" w:space="0" w:color="auto"/>
        <w:left w:val="none" w:sz="0" w:space="0" w:color="auto"/>
        <w:bottom w:val="none" w:sz="0" w:space="0" w:color="auto"/>
        <w:right w:val="none" w:sz="0" w:space="0" w:color="auto"/>
      </w:divBdr>
    </w:div>
    <w:div w:id="511383289">
      <w:bodyDiv w:val="1"/>
      <w:marLeft w:val="0"/>
      <w:marRight w:val="0"/>
      <w:marTop w:val="0"/>
      <w:marBottom w:val="0"/>
      <w:divBdr>
        <w:top w:val="none" w:sz="0" w:space="0" w:color="auto"/>
        <w:left w:val="none" w:sz="0" w:space="0" w:color="auto"/>
        <w:bottom w:val="none" w:sz="0" w:space="0" w:color="auto"/>
        <w:right w:val="none" w:sz="0" w:space="0" w:color="auto"/>
      </w:divBdr>
    </w:div>
    <w:div w:id="547109159">
      <w:bodyDiv w:val="1"/>
      <w:marLeft w:val="0"/>
      <w:marRight w:val="0"/>
      <w:marTop w:val="0"/>
      <w:marBottom w:val="0"/>
      <w:divBdr>
        <w:top w:val="none" w:sz="0" w:space="0" w:color="auto"/>
        <w:left w:val="none" w:sz="0" w:space="0" w:color="auto"/>
        <w:bottom w:val="none" w:sz="0" w:space="0" w:color="auto"/>
        <w:right w:val="none" w:sz="0" w:space="0" w:color="auto"/>
      </w:divBdr>
    </w:div>
    <w:div w:id="565602746">
      <w:bodyDiv w:val="1"/>
      <w:marLeft w:val="0"/>
      <w:marRight w:val="0"/>
      <w:marTop w:val="0"/>
      <w:marBottom w:val="0"/>
      <w:divBdr>
        <w:top w:val="none" w:sz="0" w:space="0" w:color="auto"/>
        <w:left w:val="none" w:sz="0" w:space="0" w:color="auto"/>
        <w:bottom w:val="none" w:sz="0" w:space="0" w:color="auto"/>
        <w:right w:val="none" w:sz="0" w:space="0" w:color="auto"/>
      </w:divBdr>
    </w:div>
    <w:div w:id="599027749">
      <w:bodyDiv w:val="1"/>
      <w:marLeft w:val="0"/>
      <w:marRight w:val="0"/>
      <w:marTop w:val="0"/>
      <w:marBottom w:val="0"/>
      <w:divBdr>
        <w:top w:val="none" w:sz="0" w:space="0" w:color="auto"/>
        <w:left w:val="none" w:sz="0" w:space="0" w:color="auto"/>
        <w:bottom w:val="none" w:sz="0" w:space="0" w:color="auto"/>
        <w:right w:val="none" w:sz="0" w:space="0" w:color="auto"/>
      </w:divBdr>
    </w:div>
    <w:div w:id="661081065">
      <w:bodyDiv w:val="1"/>
      <w:marLeft w:val="0"/>
      <w:marRight w:val="0"/>
      <w:marTop w:val="0"/>
      <w:marBottom w:val="0"/>
      <w:divBdr>
        <w:top w:val="none" w:sz="0" w:space="0" w:color="auto"/>
        <w:left w:val="none" w:sz="0" w:space="0" w:color="auto"/>
        <w:bottom w:val="none" w:sz="0" w:space="0" w:color="auto"/>
        <w:right w:val="none" w:sz="0" w:space="0" w:color="auto"/>
      </w:divBdr>
    </w:div>
    <w:div w:id="680282167">
      <w:bodyDiv w:val="1"/>
      <w:marLeft w:val="0"/>
      <w:marRight w:val="0"/>
      <w:marTop w:val="0"/>
      <w:marBottom w:val="0"/>
      <w:divBdr>
        <w:top w:val="none" w:sz="0" w:space="0" w:color="auto"/>
        <w:left w:val="none" w:sz="0" w:space="0" w:color="auto"/>
        <w:bottom w:val="none" w:sz="0" w:space="0" w:color="auto"/>
        <w:right w:val="none" w:sz="0" w:space="0" w:color="auto"/>
      </w:divBdr>
    </w:div>
    <w:div w:id="734010459">
      <w:bodyDiv w:val="1"/>
      <w:marLeft w:val="0"/>
      <w:marRight w:val="0"/>
      <w:marTop w:val="0"/>
      <w:marBottom w:val="0"/>
      <w:divBdr>
        <w:top w:val="none" w:sz="0" w:space="0" w:color="auto"/>
        <w:left w:val="none" w:sz="0" w:space="0" w:color="auto"/>
        <w:bottom w:val="none" w:sz="0" w:space="0" w:color="auto"/>
        <w:right w:val="none" w:sz="0" w:space="0" w:color="auto"/>
      </w:divBdr>
    </w:div>
    <w:div w:id="746609004">
      <w:bodyDiv w:val="1"/>
      <w:marLeft w:val="0"/>
      <w:marRight w:val="0"/>
      <w:marTop w:val="0"/>
      <w:marBottom w:val="0"/>
      <w:divBdr>
        <w:top w:val="none" w:sz="0" w:space="0" w:color="auto"/>
        <w:left w:val="none" w:sz="0" w:space="0" w:color="auto"/>
        <w:bottom w:val="none" w:sz="0" w:space="0" w:color="auto"/>
        <w:right w:val="none" w:sz="0" w:space="0" w:color="auto"/>
      </w:divBdr>
    </w:div>
    <w:div w:id="747309592">
      <w:bodyDiv w:val="1"/>
      <w:marLeft w:val="0"/>
      <w:marRight w:val="0"/>
      <w:marTop w:val="0"/>
      <w:marBottom w:val="0"/>
      <w:divBdr>
        <w:top w:val="none" w:sz="0" w:space="0" w:color="auto"/>
        <w:left w:val="none" w:sz="0" w:space="0" w:color="auto"/>
        <w:bottom w:val="none" w:sz="0" w:space="0" w:color="auto"/>
        <w:right w:val="none" w:sz="0" w:space="0" w:color="auto"/>
      </w:divBdr>
    </w:div>
    <w:div w:id="764227656">
      <w:bodyDiv w:val="1"/>
      <w:marLeft w:val="0"/>
      <w:marRight w:val="0"/>
      <w:marTop w:val="0"/>
      <w:marBottom w:val="0"/>
      <w:divBdr>
        <w:top w:val="none" w:sz="0" w:space="0" w:color="auto"/>
        <w:left w:val="none" w:sz="0" w:space="0" w:color="auto"/>
        <w:bottom w:val="none" w:sz="0" w:space="0" w:color="auto"/>
        <w:right w:val="none" w:sz="0" w:space="0" w:color="auto"/>
      </w:divBdr>
    </w:div>
    <w:div w:id="775640024">
      <w:bodyDiv w:val="1"/>
      <w:marLeft w:val="0"/>
      <w:marRight w:val="0"/>
      <w:marTop w:val="0"/>
      <w:marBottom w:val="0"/>
      <w:divBdr>
        <w:top w:val="none" w:sz="0" w:space="0" w:color="auto"/>
        <w:left w:val="none" w:sz="0" w:space="0" w:color="auto"/>
        <w:bottom w:val="none" w:sz="0" w:space="0" w:color="auto"/>
        <w:right w:val="none" w:sz="0" w:space="0" w:color="auto"/>
      </w:divBdr>
    </w:div>
    <w:div w:id="807746364">
      <w:bodyDiv w:val="1"/>
      <w:marLeft w:val="0"/>
      <w:marRight w:val="0"/>
      <w:marTop w:val="0"/>
      <w:marBottom w:val="0"/>
      <w:divBdr>
        <w:top w:val="none" w:sz="0" w:space="0" w:color="auto"/>
        <w:left w:val="none" w:sz="0" w:space="0" w:color="auto"/>
        <w:bottom w:val="none" w:sz="0" w:space="0" w:color="auto"/>
        <w:right w:val="none" w:sz="0" w:space="0" w:color="auto"/>
      </w:divBdr>
    </w:div>
    <w:div w:id="825130945">
      <w:bodyDiv w:val="1"/>
      <w:marLeft w:val="0"/>
      <w:marRight w:val="0"/>
      <w:marTop w:val="0"/>
      <w:marBottom w:val="0"/>
      <w:divBdr>
        <w:top w:val="none" w:sz="0" w:space="0" w:color="auto"/>
        <w:left w:val="none" w:sz="0" w:space="0" w:color="auto"/>
        <w:bottom w:val="none" w:sz="0" w:space="0" w:color="auto"/>
        <w:right w:val="none" w:sz="0" w:space="0" w:color="auto"/>
      </w:divBdr>
    </w:div>
    <w:div w:id="863594946">
      <w:bodyDiv w:val="1"/>
      <w:marLeft w:val="0"/>
      <w:marRight w:val="0"/>
      <w:marTop w:val="0"/>
      <w:marBottom w:val="0"/>
      <w:divBdr>
        <w:top w:val="none" w:sz="0" w:space="0" w:color="auto"/>
        <w:left w:val="none" w:sz="0" w:space="0" w:color="auto"/>
        <w:bottom w:val="none" w:sz="0" w:space="0" w:color="auto"/>
        <w:right w:val="none" w:sz="0" w:space="0" w:color="auto"/>
      </w:divBdr>
    </w:div>
    <w:div w:id="973366096">
      <w:bodyDiv w:val="1"/>
      <w:marLeft w:val="0"/>
      <w:marRight w:val="0"/>
      <w:marTop w:val="0"/>
      <w:marBottom w:val="0"/>
      <w:divBdr>
        <w:top w:val="none" w:sz="0" w:space="0" w:color="auto"/>
        <w:left w:val="none" w:sz="0" w:space="0" w:color="auto"/>
        <w:bottom w:val="none" w:sz="0" w:space="0" w:color="auto"/>
        <w:right w:val="none" w:sz="0" w:space="0" w:color="auto"/>
      </w:divBdr>
    </w:div>
    <w:div w:id="987979430">
      <w:bodyDiv w:val="1"/>
      <w:marLeft w:val="0"/>
      <w:marRight w:val="0"/>
      <w:marTop w:val="0"/>
      <w:marBottom w:val="0"/>
      <w:divBdr>
        <w:top w:val="none" w:sz="0" w:space="0" w:color="auto"/>
        <w:left w:val="none" w:sz="0" w:space="0" w:color="auto"/>
        <w:bottom w:val="none" w:sz="0" w:space="0" w:color="auto"/>
        <w:right w:val="none" w:sz="0" w:space="0" w:color="auto"/>
      </w:divBdr>
    </w:div>
    <w:div w:id="1004093666">
      <w:bodyDiv w:val="1"/>
      <w:marLeft w:val="0"/>
      <w:marRight w:val="0"/>
      <w:marTop w:val="0"/>
      <w:marBottom w:val="0"/>
      <w:divBdr>
        <w:top w:val="none" w:sz="0" w:space="0" w:color="auto"/>
        <w:left w:val="none" w:sz="0" w:space="0" w:color="auto"/>
        <w:bottom w:val="none" w:sz="0" w:space="0" w:color="auto"/>
        <w:right w:val="none" w:sz="0" w:space="0" w:color="auto"/>
      </w:divBdr>
      <w:divsChild>
        <w:div w:id="1001204444">
          <w:marLeft w:val="0"/>
          <w:marRight w:val="0"/>
          <w:marTop w:val="0"/>
          <w:marBottom w:val="0"/>
          <w:divBdr>
            <w:top w:val="none" w:sz="0" w:space="0" w:color="auto"/>
            <w:left w:val="none" w:sz="0" w:space="0" w:color="auto"/>
            <w:bottom w:val="none" w:sz="0" w:space="0" w:color="auto"/>
            <w:right w:val="none" w:sz="0" w:space="0" w:color="auto"/>
          </w:divBdr>
          <w:divsChild>
            <w:div w:id="1566186646">
              <w:marLeft w:val="0"/>
              <w:marRight w:val="0"/>
              <w:marTop w:val="0"/>
              <w:marBottom w:val="0"/>
              <w:divBdr>
                <w:top w:val="none" w:sz="0" w:space="0" w:color="auto"/>
                <w:left w:val="none" w:sz="0" w:space="0" w:color="auto"/>
                <w:bottom w:val="none" w:sz="0" w:space="0" w:color="auto"/>
                <w:right w:val="none" w:sz="0" w:space="0" w:color="auto"/>
              </w:divBdr>
              <w:divsChild>
                <w:div w:id="645665782">
                  <w:marLeft w:val="0"/>
                  <w:marRight w:val="0"/>
                  <w:marTop w:val="0"/>
                  <w:marBottom w:val="0"/>
                  <w:divBdr>
                    <w:top w:val="none" w:sz="0" w:space="0" w:color="auto"/>
                    <w:left w:val="none" w:sz="0" w:space="0" w:color="auto"/>
                    <w:bottom w:val="none" w:sz="0" w:space="0" w:color="auto"/>
                    <w:right w:val="none" w:sz="0" w:space="0" w:color="auto"/>
                  </w:divBdr>
                  <w:divsChild>
                    <w:div w:id="99499600">
                      <w:marLeft w:val="0"/>
                      <w:marRight w:val="0"/>
                      <w:marTop w:val="0"/>
                      <w:marBottom w:val="0"/>
                      <w:divBdr>
                        <w:top w:val="none" w:sz="0" w:space="0" w:color="auto"/>
                        <w:left w:val="none" w:sz="0" w:space="0" w:color="auto"/>
                        <w:bottom w:val="none" w:sz="0" w:space="0" w:color="auto"/>
                        <w:right w:val="none" w:sz="0" w:space="0" w:color="auto"/>
                      </w:divBdr>
                      <w:divsChild>
                        <w:div w:id="656150806">
                          <w:marLeft w:val="0"/>
                          <w:marRight w:val="0"/>
                          <w:marTop w:val="0"/>
                          <w:marBottom w:val="0"/>
                          <w:divBdr>
                            <w:top w:val="none" w:sz="0" w:space="0" w:color="auto"/>
                            <w:left w:val="none" w:sz="0" w:space="0" w:color="auto"/>
                            <w:bottom w:val="none" w:sz="0" w:space="0" w:color="auto"/>
                            <w:right w:val="none" w:sz="0" w:space="0" w:color="auto"/>
                          </w:divBdr>
                          <w:divsChild>
                            <w:div w:id="980769803">
                              <w:marLeft w:val="0"/>
                              <w:marRight w:val="0"/>
                              <w:marTop w:val="0"/>
                              <w:marBottom w:val="0"/>
                              <w:divBdr>
                                <w:top w:val="none" w:sz="0" w:space="0" w:color="auto"/>
                                <w:left w:val="none" w:sz="0" w:space="0" w:color="auto"/>
                                <w:bottom w:val="none" w:sz="0" w:space="0" w:color="auto"/>
                                <w:right w:val="none" w:sz="0" w:space="0" w:color="auto"/>
                              </w:divBdr>
                              <w:divsChild>
                                <w:div w:id="814183724">
                                  <w:marLeft w:val="0"/>
                                  <w:marRight w:val="0"/>
                                  <w:marTop w:val="0"/>
                                  <w:marBottom w:val="0"/>
                                  <w:divBdr>
                                    <w:top w:val="none" w:sz="0" w:space="0" w:color="auto"/>
                                    <w:left w:val="none" w:sz="0" w:space="0" w:color="auto"/>
                                    <w:bottom w:val="none" w:sz="0" w:space="0" w:color="auto"/>
                                    <w:right w:val="none" w:sz="0" w:space="0" w:color="auto"/>
                                  </w:divBdr>
                                  <w:divsChild>
                                    <w:div w:id="1595095125">
                                      <w:marLeft w:val="0"/>
                                      <w:marRight w:val="0"/>
                                      <w:marTop w:val="0"/>
                                      <w:marBottom w:val="0"/>
                                      <w:divBdr>
                                        <w:top w:val="none" w:sz="0" w:space="0" w:color="auto"/>
                                        <w:left w:val="none" w:sz="0" w:space="0" w:color="auto"/>
                                        <w:bottom w:val="none" w:sz="0" w:space="0" w:color="auto"/>
                                        <w:right w:val="none" w:sz="0" w:space="0" w:color="auto"/>
                                      </w:divBdr>
                                      <w:divsChild>
                                        <w:div w:id="1890989205">
                                          <w:marLeft w:val="0"/>
                                          <w:marRight w:val="0"/>
                                          <w:marTop w:val="0"/>
                                          <w:marBottom w:val="0"/>
                                          <w:divBdr>
                                            <w:top w:val="none" w:sz="0" w:space="0" w:color="auto"/>
                                            <w:left w:val="none" w:sz="0" w:space="0" w:color="auto"/>
                                            <w:bottom w:val="none" w:sz="0" w:space="0" w:color="auto"/>
                                            <w:right w:val="none" w:sz="0" w:space="0" w:color="auto"/>
                                          </w:divBdr>
                                          <w:divsChild>
                                            <w:div w:id="487282206">
                                              <w:marLeft w:val="0"/>
                                              <w:marRight w:val="0"/>
                                              <w:marTop w:val="0"/>
                                              <w:marBottom w:val="0"/>
                                              <w:divBdr>
                                                <w:top w:val="none" w:sz="0" w:space="0" w:color="auto"/>
                                                <w:left w:val="none" w:sz="0" w:space="0" w:color="auto"/>
                                                <w:bottom w:val="none" w:sz="0" w:space="0" w:color="auto"/>
                                                <w:right w:val="none" w:sz="0" w:space="0" w:color="auto"/>
                                              </w:divBdr>
                                              <w:divsChild>
                                                <w:div w:id="1416434944">
                                                  <w:marLeft w:val="0"/>
                                                  <w:marRight w:val="0"/>
                                                  <w:marTop w:val="0"/>
                                                  <w:marBottom w:val="0"/>
                                                  <w:divBdr>
                                                    <w:top w:val="none" w:sz="0" w:space="0" w:color="auto"/>
                                                    <w:left w:val="none" w:sz="0" w:space="0" w:color="auto"/>
                                                    <w:bottom w:val="none" w:sz="0" w:space="0" w:color="auto"/>
                                                    <w:right w:val="none" w:sz="0" w:space="0" w:color="auto"/>
                                                  </w:divBdr>
                                                  <w:divsChild>
                                                    <w:div w:id="525631092">
                                                      <w:marLeft w:val="0"/>
                                                      <w:marRight w:val="0"/>
                                                      <w:marTop w:val="0"/>
                                                      <w:marBottom w:val="0"/>
                                                      <w:divBdr>
                                                        <w:top w:val="none" w:sz="0" w:space="0" w:color="auto"/>
                                                        <w:left w:val="none" w:sz="0" w:space="0" w:color="auto"/>
                                                        <w:bottom w:val="none" w:sz="0" w:space="0" w:color="auto"/>
                                                        <w:right w:val="none" w:sz="0" w:space="0" w:color="auto"/>
                                                      </w:divBdr>
                                                      <w:divsChild>
                                                        <w:div w:id="139319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2341112">
      <w:bodyDiv w:val="1"/>
      <w:marLeft w:val="0"/>
      <w:marRight w:val="0"/>
      <w:marTop w:val="0"/>
      <w:marBottom w:val="0"/>
      <w:divBdr>
        <w:top w:val="none" w:sz="0" w:space="0" w:color="auto"/>
        <w:left w:val="none" w:sz="0" w:space="0" w:color="auto"/>
        <w:bottom w:val="none" w:sz="0" w:space="0" w:color="auto"/>
        <w:right w:val="none" w:sz="0" w:space="0" w:color="auto"/>
      </w:divBdr>
      <w:divsChild>
        <w:div w:id="196435432">
          <w:marLeft w:val="0"/>
          <w:marRight w:val="0"/>
          <w:marTop w:val="0"/>
          <w:marBottom w:val="0"/>
          <w:divBdr>
            <w:top w:val="none" w:sz="0" w:space="0" w:color="auto"/>
            <w:left w:val="none" w:sz="0" w:space="0" w:color="auto"/>
            <w:bottom w:val="none" w:sz="0" w:space="0" w:color="auto"/>
            <w:right w:val="none" w:sz="0" w:space="0" w:color="auto"/>
          </w:divBdr>
          <w:divsChild>
            <w:div w:id="483282329">
              <w:marLeft w:val="-225"/>
              <w:marRight w:val="-225"/>
              <w:marTop w:val="0"/>
              <w:marBottom w:val="0"/>
              <w:divBdr>
                <w:top w:val="none" w:sz="0" w:space="0" w:color="auto"/>
                <w:left w:val="none" w:sz="0" w:space="0" w:color="auto"/>
                <w:bottom w:val="none" w:sz="0" w:space="0" w:color="auto"/>
                <w:right w:val="none" w:sz="0" w:space="0" w:color="auto"/>
              </w:divBdr>
              <w:divsChild>
                <w:div w:id="56052241">
                  <w:marLeft w:val="0"/>
                  <w:marRight w:val="0"/>
                  <w:marTop w:val="0"/>
                  <w:marBottom w:val="0"/>
                  <w:divBdr>
                    <w:top w:val="none" w:sz="0" w:space="0" w:color="auto"/>
                    <w:left w:val="none" w:sz="0" w:space="0" w:color="auto"/>
                    <w:bottom w:val="none" w:sz="0" w:space="0" w:color="auto"/>
                    <w:right w:val="none" w:sz="0" w:space="0" w:color="auto"/>
                  </w:divBdr>
                  <w:divsChild>
                    <w:div w:id="15376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941747">
      <w:bodyDiv w:val="1"/>
      <w:marLeft w:val="0"/>
      <w:marRight w:val="0"/>
      <w:marTop w:val="0"/>
      <w:marBottom w:val="0"/>
      <w:divBdr>
        <w:top w:val="none" w:sz="0" w:space="0" w:color="auto"/>
        <w:left w:val="none" w:sz="0" w:space="0" w:color="auto"/>
        <w:bottom w:val="none" w:sz="0" w:space="0" w:color="auto"/>
        <w:right w:val="none" w:sz="0" w:space="0" w:color="auto"/>
      </w:divBdr>
    </w:div>
    <w:div w:id="1147435774">
      <w:bodyDiv w:val="1"/>
      <w:marLeft w:val="0"/>
      <w:marRight w:val="0"/>
      <w:marTop w:val="0"/>
      <w:marBottom w:val="0"/>
      <w:divBdr>
        <w:top w:val="none" w:sz="0" w:space="0" w:color="auto"/>
        <w:left w:val="none" w:sz="0" w:space="0" w:color="auto"/>
        <w:bottom w:val="none" w:sz="0" w:space="0" w:color="auto"/>
        <w:right w:val="none" w:sz="0" w:space="0" w:color="auto"/>
      </w:divBdr>
    </w:div>
    <w:div w:id="1208908780">
      <w:bodyDiv w:val="1"/>
      <w:marLeft w:val="0"/>
      <w:marRight w:val="0"/>
      <w:marTop w:val="0"/>
      <w:marBottom w:val="0"/>
      <w:divBdr>
        <w:top w:val="none" w:sz="0" w:space="0" w:color="auto"/>
        <w:left w:val="none" w:sz="0" w:space="0" w:color="auto"/>
        <w:bottom w:val="none" w:sz="0" w:space="0" w:color="auto"/>
        <w:right w:val="none" w:sz="0" w:space="0" w:color="auto"/>
      </w:divBdr>
    </w:div>
    <w:div w:id="1404986941">
      <w:bodyDiv w:val="1"/>
      <w:marLeft w:val="0"/>
      <w:marRight w:val="0"/>
      <w:marTop w:val="0"/>
      <w:marBottom w:val="0"/>
      <w:divBdr>
        <w:top w:val="none" w:sz="0" w:space="0" w:color="auto"/>
        <w:left w:val="none" w:sz="0" w:space="0" w:color="auto"/>
        <w:bottom w:val="none" w:sz="0" w:space="0" w:color="auto"/>
        <w:right w:val="none" w:sz="0" w:space="0" w:color="auto"/>
      </w:divBdr>
      <w:divsChild>
        <w:div w:id="1625622230">
          <w:marLeft w:val="0"/>
          <w:marRight w:val="0"/>
          <w:marTop w:val="0"/>
          <w:marBottom w:val="0"/>
          <w:divBdr>
            <w:top w:val="none" w:sz="0" w:space="0" w:color="auto"/>
            <w:left w:val="none" w:sz="0" w:space="0" w:color="auto"/>
            <w:bottom w:val="none" w:sz="0" w:space="0" w:color="auto"/>
            <w:right w:val="none" w:sz="0" w:space="0" w:color="auto"/>
          </w:divBdr>
          <w:divsChild>
            <w:div w:id="2002997833">
              <w:marLeft w:val="0"/>
              <w:marRight w:val="0"/>
              <w:marTop w:val="0"/>
              <w:marBottom w:val="0"/>
              <w:divBdr>
                <w:top w:val="none" w:sz="0" w:space="0" w:color="auto"/>
                <w:left w:val="none" w:sz="0" w:space="0" w:color="auto"/>
                <w:bottom w:val="none" w:sz="0" w:space="0" w:color="auto"/>
                <w:right w:val="none" w:sz="0" w:space="0" w:color="auto"/>
              </w:divBdr>
              <w:divsChild>
                <w:div w:id="798836734">
                  <w:marLeft w:val="0"/>
                  <w:marRight w:val="0"/>
                  <w:marTop w:val="0"/>
                  <w:marBottom w:val="0"/>
                  <w:divBdr>
                    <w:top w:val="none" w:sz="0" w:space="0" w:color="auto"/>
                    <w:left w:val="none" w:sz="0" w:space="0" w:color="auto"/>
                    <w:bottom w:val="none" w:sz="0" w:space="0" w:color="auto"/>
                    <w:right w:val="none" w:sz="0" w:space="0" w:color="auto"/>
                  </w:divBdr>
                  <w:divsChild>
                    <w:div w:id="463813214">
                      <w:marLeft w:val="0"/>
                      <w:marRight w:val="0"/>
                      <w:marTop w:val="0"/>
                      <w:marBottom w:val="0"/>
                      <w:divBdr>
                        <w:top w:val="none" w:sz="0" w:space="0" w:color="auto"/>
                        <w:left w:val="none" w:sz="0" w:space="0" w:color="auto"/>
                        <w:bottom w:val="none" w:sz="0" w:space="0" w:color="auto"/>
                        <w:right w:val="none" w:sz="0" w:space="0" w:color="auto"/>
                      </w:divBdr>
                      <w:divsChild>
                        <w:div w:id="117845296">
                          <w:marLeft w:val="0"/>
                          <w:marRight w:val="0"/>
                          <w:marTop w:val="0"/>
                          <w:marBottom w:val="0"/>
                          <w:divBdr>
                            <w:top w:val="none" w:sz="0" w:space="0" w:color="auto"/>
                            <w:left w:val="none" w:sz="0" w:space="0" w:color="auto"/>
                            <w:bottom w:val="none" w:sz="0" w:space="0" w:color="auto"/>
                            <w:right w:val="none" w:sz="0" w:space="0" w:color="auto"/>
                          </w:divBdr>
                          <w:divsChild>
                            <w:div w:id="1180510811">
                              <w:marLeft w:val="0"/>
                              <w:marRight w:val="0"/>
                              <w:marTop w:val="0"/>
                              <w:marBottom w:val="0"/>
                              <w:divBdr>
                                <w:top w:val="none" w:sz="0" w:space="0" w:color="auto"/>
                                <w:left w:val="none" w:sz="0" w:space="0" w:color="auto"/>
                                <w:bottom w:val="none" w:sz="0" w:space="0" w:color="auto"/>
                                <w:right w:val="none" w:sz="0" w:space="0" w:color="auto"/>
                              </w:divBdr>
                              <w:divsChild>
                                <w:div w:id="1361856612">
                                  <w:marLeft w:val="0"/>
                                  <w:marRight w:val="0"/>
                                  <w:marTop w:val="0"/>
                                  <w:marBottom w:val="0"/>
                                  <w:divBdr>
                                    <w:top w:val="none" w:sz="0" w:space="0" w:color="auto"/>
                                    <w:left w:val="none" w:sz="0" w:space="0" w:color="auto"/>
                                    <w:bottom w:val="none" w:sz="0" w:space="0" w:color="auto"/>
                                    <w:right w:val="none" w:sz="0" w:space="0" w:color="auto"/>
                                  </w:divBdr>
                                  <w:divsChild>
                                    <w:div w:id="438255566">
                                      <w:marLeft w:val="0"/>
                                      <w:marRight w:val="0"/>
                                      <w:marTop w:val="0"/>
                                      <w:marBottom w:val="0"/>
                                      <w:divBdr>
                                        <w:top w:val="none" w:sz="0" w:space="0" w:color="auto"/>
                                        <w:left w:val="none" w:sz="0" w:space="0" w:color="auto"/>
                                        <w:bottom w:val="none" w:sz="0" w:space="0" w:color="auto"/>
                                        <w:right w:val="none" w:sz="0" w:space="0" w:color="auto"/>
                                      </w:divBdr>
                                      <w:divsChild>
                                        <w:div w:id="200244253">
                                          <w:marLeft w:val="0"/>
                                          <w:marRight w:val="0"/>
                                          <w:marTop w:val="0"/>
                                          <w:marBottom w:val="0"/>
                                          <w:divBdr>
                                            <w:top w:val="none" w:sz="0" w:space="0" w:color="auto"/>
                                            <w:left w:val="none" w:sz="0" w:space="0" w:color="auto"/>
                                            <w:bottom w:val="none" w:sz="0" w:space="0" w:color="auto"/>
                                            <w:right w:val="none" w:sz="0" w:space="0" w:color="auto"/>
                                          </w:divBdr>
                                          <w:divsChild>
                                            <w:div w:id="133720318">
                                              <w:marLeft w:val="0"/>
                                              <w:marRight w:val="0"/>
                                              <w:marTop w:val="0"/>
                                              <w:marBottom w:val="0"/>
                                              <w:divBdr>
                                                <w:top w:val="none" w:sz="0" w:space="0" w:color="auto"/>
                                                <w:left w:val="none" w:sz="0" w:space="0" w:color="auto"/>
                                                <w:bottom w:val="none" w:sz="0" w:space="0" w:color="auto"/>
                                                <w:right w:val="none" w:sz="0" w:space="0" w:color="auto"/>
                                              </w:divBdr>
                                              <w:divsChild>
                                                <w:div w:id="1558475404">
                                                  <w:marLeft w:val="0"/>
                                                  <w:marRight w:val="0"/>
                                                  <w:marTop w:val="0"/>
                                                  <w:marBottom w:val="0"/>
                                                  <w:divBdr>
                                                    <w:top w:val="none" w:sz="0" w:space="0" w:color="auto"/>
                                                    <w:left w:val="none" w:sz="0" w:space="0" w:color="auto"/>
                                                    <w:bottom w:val="none" w:sz="0" w:space="0" w:color="auto"/>
                                                    <w:right w:val="none" w:sz="0" w:space="0" w:color="auto"/>
                                                  </w:divBdr>
                                                  <w:divsChild>
                                                    <w:div w:id="768619990">
                                                      <w:marLeft w:val="0"/>
                                                      <w:marRight w:val="0"/>
                                                      <w:marTop w:val="0"/>
                                                      <w:marBottom w:val="0"/>
                                                      <w:divBdr>
                                                        <w:top w:val="none" w:sz="0" w:space="0" w:color="auto"/>
                                                        <w:left w:val="none" w:sz="0" w:space="0" w:color="auto"/>
                                                        <w:bottom w:val="none" w:sz="0" w:space="0" w:color="auto"/>
                                                        <w:right w:val="none" w:sz="0" w:space="0" w:color="auto"/>
                                                      </w:divBdr>
                                                      <w:divsChild>
                                                        <w:div w:id="89858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8266004">
      <w:bodyDiv w:val="1"/>
      <w:marLeft w:val="0"/>
      <w:marRight w:val="0"/>
      <w:marTop w:val="0"/>
      <w:marBottom w:val="0"/>
      <w:divBdr>
        <w:top w:val="none" w:sz="0" w:space="0" w:color="auto"/>
        <w:left w:val="none" w:sz="0" w:space="0" w:color="auto"/>
        <w:bottom w:val="none" w:sz="0" w:space="0" w:color="auto"/>
        <w:right w:val="none" w:sz="0" w:space="0" w:color="auto"/>
      </w:divBdr>
    </w:div>
    <w:div w:id="1422946221">
      <w:bodyDiv w:val="1"/>
      <w:marLeft w:val="0"/>
      <w:marRight w:val="0"/>
      <w:marTop w:val="0"/>
      <w:marBottom w:val="0"/>
      <w:divBdr>
        <w:top w:val="none" w:sz="0" w:space="0" w:color="auto"/>
        <w:left w:val="none" w:sz="0" w:space="0" w:color="auto"/>
        <w:bottom w:val="none" w:sz="0" w:space="0" w:color="auto"/>
        <w:right w:val="none" w:sz="0" w:space="0" w:color="auto"/>
      </w:divBdr>
    </w:div>
    <w:div w:id="1424570831">
      <w:bodyDiv w:val="1"/>
      <w:marLeft w:val="0"/>
      <w:marRight w:val="0"/>
      <w:marTop w:val="0"/>
      <w:marBottom w:val="0"/>
      <w:divBdr>
        <w:top w:val="none" w:sz="0" w:space="0" w:color="auto"/>
        <w:left w:val="none" w:sz="0" w:space="0" w:color="auto"/>
        <w:bottom w:val="none" w:sz="0" w:space="0" w:color="auto"/>
        <w:right w:val="none" w:sz="0" w:space="0" w:color="auto"/>
      </w:divBdr>
      <w:divsChild>
        <w:div w:id="2824906">
          <w:marLeft w:val="0"/>
          <w:marRight w:val="0"/>
          <w:marTop w:val="100"/>
          <w:marBottom w:val="100"/>
          <w:divBdr>
            <w:top w:val="none" w:sz="0" w:space="0" w:color="auto"/>
            <w:left w:val="none" w:sz="0" w:space="0" w:color="auto"/>
            <w:bottom w:val="none" w:sz="0" w:space="0" w:color="auto"/>
            <w:right w:val="none" w:sz="0" w:space="0" w:color="auto"/>
          </w:divBdr>
        </w:div>
      </w:divsChild>
    </w:div>
    <w:div w:id="1556156723">
      <w:bodyDiv w:val="1"/>
      <w:marLeft w:val="0"/>
      <w:marRight w:val="0"/>
      <w:marTop w:val="0"/>
      <w:marBottom w:val="0"/>
      <w:divBdr>
        <w:top w:val="none" w:sz="0" w:space="0" w:color="auto"/>
        <w:left w:val="none" w:sz="0" w:space="0" w:color="auto"/>
        <w:bottom w:val="none" w:sz="0" w:space="0" w:color="auto"/>
        <w:right w:val="none" w:sz="0" w:space="0" w:color="auto"/>
      </w:divBdr>
    </w:div>
    <w:div w:id="1606691124">
      <w:bodyDiv w:val="1"/>
      <w:marLeft w:val="0"/>
      <w:marRight w:val="0"/>
      <w:marTop w:val="0"/>
      <w:marBottom w:val="0"/>
      <w:divBdr>
        <w:top w:val="none" w:sz="0" w:space="0" w:color="auto"/>
        <w:left w:val="none" w:sz="0" w:space="0" w:color="auto"/>
        <w:bottom w:val="none" w:sz="0" w:space="0" w:color="auto"/>
        <w:right w:val="none" w:sz="0" w:space="0" w:color="auto"/>
      </w:divBdr>
    </w:div>
    <w:div w:id="1685356189">
      <w:bodyDiv w:val="1"/>
      <w:marLeft w:val="0"/>
      <w:marRight w:val="0"/>
      <w:marTop w:val="0"/>
      <w:marBottom w:val="0"/>
      <w:divBdr>
        <w:top w:val="none" w:sz="0" w:space="0" w:color="auto"/>
        <w:left w:val="none" w:sz="0" w:space="0" w:color="auto"/>
        <w:bottom w:val="none" w:sz="0" w:space="0" w:color="auto"/>
        <w:right w:val="none" w:sz="0" w:space="0" w:color="auto"/>
      </w:divBdr>
    </w:div>
    <w:div w:id="1736661324">
      <w:bodyDiv w:val="1"/>
      <w:marLeft w:val="0"/>
      <w:marRight w:val="0"/>
      <w:marTop w:val="0"/>
      <w:marBottom w:val="0"/>
      <w:divBdr>
        <w:top w:val="none" w:sz="0" w:space="0" w:color="auto"/>
        <w:left w:val="none" w:sz="0" w:space="0" w:color="auto"/>
        <w:bottom w:val="none" w:sz="0" w:space="0" w:color="auto"/>
        <w:right w:val="none" w:sz="0" w:space="0" w:color="auto"/>
      </w:divBdr>
    </w:div>
    <w:div w:id="1754037891">
      <w:bodyDiv w:val="1"/>
      <w:marLeft w:val="0"/>
      <w:marRight w:val="0"/>
      <w:marTop w:val="0"/>
      <w:marBottom w:val="0"/>
      <w:divBdr>
        <w:top w:val="none" w:sz="0" w:space="0" w:color="auto"/>
        <w:left w:val="none" w:sz="0" w:space="0" w:color="auto"/>
        <w:bottom w:val="none" w:sz="0" w:space="0" w:color="auto"/>
        <w:right w:val="none" w:sz="0" w:space="0" w:color="auto"/>
      </w:divBdr>
    </w:div>
    <w:div w:id="1784885100">
      <w:bodyDiv w:val="1"/>
      <w:marLeft w:val="0"/>
      <w:marRight w:val="0"/>
      <w:marTop w:val="0"/>
      <w:marBottom w:val="0"/>
      <w:divBdr>
        <w:top w:val="none" w:sz="0" w:space="0" w:color="auto"/>
        <w:left w:val="none" w:sz="0" w:space="0" w:color="auto"/>
        <w:bottom w:val="none" w:sz="0" w:space="0" w:color="auto"/>
        <w:right w:val="none" w:sz="0" w:space="0" w:color="auto"/>
      </w:divBdr>
    </w:div>
    <w:div w:id="1789159640">
      <w:bodyDiv w:val="1"/>
      <w:marLeft w:val="0"/>
      <w:marRight w:val="0"/>
      <w:marTop w:val="0"/>
      <w:marBottom w:val="0"/>
      <w:divBdr>
        <w:top w:val="none" w:sz="0" w:space="0" w:color="auto"/>
        <w:left w:val="none" w:sz="0" w:space="0" w:color="auto"/>
        <w:bottom w:val="none" w:sz="0" w:space="0" w:color="auto"/>
        <w:right w:val="none" w:sz="0" w:space="0" w:color="auto"/>
      </w:divBdr>
    </w:div>
    <w:div w:id="1907957100">
      <w:bodyDiv w:val="1"/>
      <w:marLeft w:val="0"/>
      <w:marRight w:val="0"/>
      <w:marTop w:val="0"/>
      <w:marBottom w:val="0"/>
      <w:divBdr>
        <w:top w:val="none" w:sz="0" w:space="0" w:color="auto"/>
        <w:left w:val="none" w:sz="0" w:space="0" w:color="auto"/>
        <w:bottom w:val="none" w:sz="0" w:space="0" w:color="auto"/>
        <w:right w:val="none" w:sz="0" w:space="0" w:color="auto"/>
      </w:divBdr>
    </w:div>
    <w:div w:id="1932464185">
      <w:bodyDiv w:val="1"/>
      <w:marLeft w:val="0"/>
      <w:marRight w:val="0"/>
      <w:marTop w:val="0"/>
      <w:marBottom w:val="0"/>
      <w:divBdr>
        <w:top w:val="none" w:sz="0" w:space="0" w:color="auto"/>
        <w:left w:val="none" w:sz="0" w:space="0" w:color="auto"/>
        <w:bottom w:val="none" w:sz="0" w:space="0" w:color="auto"/>
        <w:right w:val="none" w:sz="0" w:space="0" w:color="auto"/>
      </w:divBdr>
    </w:div>
    <w:div w:id="1950307566">
      <w:bodyDiv w:val="1"/>
      <w:marLeft w:val="0"/>
      <w:marRight w:val="0"/>
      <w:marTop w:val="0"/>
      <w:marBottom w:val="0"/>
      <w:divBdr>
        <w:top w:val="none" w:sz="0" w:space="0" w:color="auto"/>
        <w:left w:val="none" w:sz="0" w:space="0" w:color="auto"/>
        <w:bottom w:val="none" w:sz="0" w:space="0" w:color="auto"/>
        <w:right w:val="none" w:sz="0" w:space="0" w:color="auto"/>
      </w:divBdr>
    </w:div>
    <w:div w:id="1989431769">
      <w:bodyDiv w:val="1"/>
      <w:marLeft w:val="0"/>
      <w:marRight w:val="0"/>
      <w:marTop w:val="0"/>
      <w:marBottom w:val="0"/>
      <w:divBdr>
        <w:top w:val="none" w:sz="0" w:space="0" w:color="auto"/>
        <w:left w:val="none" w:sz="0" w:space="0" w:color="auto"/>
        <w:bottom w:val="none" w:sz="0" w:space="0" w:color="auto"/>
        <w:right w:val="none" w:sz="0" w:space="0" w:color="auto"/>
      </w:divBdr>
      <w:divsChild>
        <w:div w:id="1334183919">
          <w:marLeft w:val="0"/>
          <w:marRight w:val="0"/>
          <w:marTop w:val="0"/>
          <w:marBottom w:val="0"/>
          <w:divBdr>
            <w:top w:val="none" w:sz="0" w:space="0" w:color="auto"/>
            <w:left w:val="none" w:sz="0" w:space="0" w:color="auto"/>
            <w:bottom w:val="none" w:sz="0" w:space="0" w:color="auto"/>
            <w:right w:val="none" w:sz="0" w:space="0" w:color="auto"/>
          </w:divBdr>
          <w:divsChild>
            <w:div w:id="56708610">
              <w:marLeft w:val="0"/>
              <w:marRight w:val="0"/>
              <w:marTop w:val="0"/>
              <w:marBottom w:val="0"/>
              <w:divBdr>
                <w:top w:val="none" w:sz="0" w:space="0" w:color="auto"/>
                <w:left w:val="none" w:sz="0" w:space="0" w:color="auto"/>
                <w:bottom w:val="none" w:sz="0" w:space="0" w:color="auto"/>
                <w:right w:val="none" w:sz="0" w:space="0" w:color="auto"/>
              </w:divBdr>
              <w:divsChild>
                <w:div w:id="510872408">
                  <w:marLeft w:val="0"/>
                  <w:marRight w:val="0"/>
                  <w:marTop w:val="0"/>
                  <w:marBottom w:val="0"/>
                  <w:divBdr>
                    <w:top w:val="none" w:sz="0" w:space="0" w:color="auto"/>
                    <w:left w:val="none" w:sz="0" w:space="0" w:color="auto"/>
                    <w:bottom w:val="none" w:sz="0" w:space="0" w:color="auto"/>
                    <w:right w:val="none" w:sz="0" w:space="0" w:color="auto"/>
                  </w:divBdr>
                  <w:divsChild>
                    <w:div w:id="1587837467">
                      <w:marLeft w:val="0"/>
                      <w:marRight w:val="0"/>
                      <w:marTop w:val="0"/>
                      <w:marBottom w:val="0"/>
                      <w:divBdr>
                        <w:top w:val="none" w:sz="0" w:space="0" w:color="auto"/>
                        <w:left w:val="none" w:sz="0" w:space="0" w:color="auto"/>
                        <w:bottom w:val="none" w:sz="0" w:space="0" w:color="auto"/>
                        <w:right w:val="none" w:sz="0" w:space="0" w:color="auto"/>
                      </w:divBdr>
                      <w:divsChild>
                        <w:div w:id="663703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4620250">
      <w:bodyDiv w:val="1"/>
      <w:marLeft w:val="0"/>
      <w:marRight w:val="0"/>
      <w:marTop w:val="0"/>
      <w:marBottom w:val="0"/>
      <w:divBdr>
        <w:top w:val="none" w:sz="0" w:space="0" w:color="auto"/>
        <w:left w:val="none" w:sz="0" w:space="0" w:color="auto"/>
        <w:bottom w:val="none" w:sz="0" w:space="0" w:color="auto"/>
        <w:right w:val="none" w:sz="0" w:space="0" w:color="auto"/>
      </w:divBdr>
      <w:divsChild>
        <w:div w:id="8353392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www.industry.gov.au/measurement-law-review"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easurementlawreview@industry.gov.au"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legislation.gov.au/" TargetMode="External"/><Relationship Id="rId20" Type="http://schemas.openxmlformats.org/officeDocument/2006/relationships/hyperlink" Target="https://www.bipm.org/en/cipm-mr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consult.industry.gov.au/measurement-law-review/measurement-in-everyday-life"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consult.industry.gov.au/measurement-law-review/measurement-in-everyday-lif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bipm.org/en/measurement-units/" TargetMode="External"/><Relationship Id="rId2" Type="http://schemas.openxmlformats.org/officeDocument/2006/relationships/hyperlink" Target="https://www.bipm.org/en/about-us/member-states/" TargetMode="External"/><Relationship Id="rId1" Type="http://schemas.openxmlformats.org/officeDocument/2006/relationships/hyperlink" Target="https://www.bipm.org/utils/common/documents/jcgm/JCGM_200_2012.pdf" TargetMode="External"/><Relationship Id="rId6" Type="http://schemas.openxmlformats.org/officeDocument/2006/relationships/hyperlink" Target="https://www.ptb.de/cms/nc/en/research-development/challenges-and-future-prospects/metrology-for-the-digitalization.html" TargetMode="External"/><Relationship Id="rId5" Type="http://schemas.openxmlformats.org/officeDocument/2006/relationships/hyperlink" Target="https://www.mckinsey.com/mgi/overview/in-the-news/the-ascendancy-of-international-data-flows" TargetMode="External"/><Relationship Id="rId4" Type="http://schemas.openxmlformats.org/officeDocument/2006/relationships/hyperlink" Target="https://www.legislation.gov.au/Series/F2016L01018" TargetMode="External"/></Relationships>
</file>

<file path=word/theme/theme1.xml><?xml version="1.0" encoding="utf-8"?>
<a:theme xmlns:a="http://schemas.openxmlformats.org/drawingml/2006/main" name="Office Theme">
  <a:themeElements>
    <a:clrScheme name="Corporate Test">
      <a:dk1>
        <a:sysClr val="windowText" lastClr="000000"/>
      </a:dk1>
      <a:lt1>
        <a:sysClr val="window" lastClr="FFFFFF"/>
      </a:lt1>
      <a:dk2>
        <a:srgbClr val="58595B"/>
      </a:dk2>
      <a:lt2>
        <a:srgbClr val="939598"/>
      </a:lt2>
      <a:accent1>
        <a:srgbClr val="005677"/>
      </a:accent1>
      <a:accent2>
        <a:srgbClr val="00283E"/>
      </a:accent2>
      <a:accent3>
        <a:srgbClr val="1B9590"/>
      </a:accent3>
      <a:accent4>
        <a:srgbClr val="61C6C6"/>
      </a:accent4>
      <a:accent5>
        <a:srgbClr val="9CD9E0"/>
      </a:accent5>
      <a:accent6>
        <a:srgbClr val="C973AF"/>
      </a:accent6>
      <a:hlink>
        <a:srgbClr val="005677"/>
      </a:hlink>
      <a:folHlink>
        <a:srgbClr val="C973AF"/>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e2555c81638466f9eb614edb9ecde52 xmlns="ef1c6b3d-2616-4020-9054-bdf2c47fde80">
      <Terms xmlns="http://schemas.microsoft.com/office/infopath/2007/PartnerControls">
        <TermInfo xmlns="http://schemas.microsoft.com/office/infopath/2007/PartnerControls">
          <TermName xmlns="http://schemas.microsoft.com/office/infopath/2007/PartnerControls">Paper</TermName>
          <TermId xmlns="http://schemas.microsoft.com/office/infopath/2007/PartnerControls">4fd73e9f-ceb6-4d3f-8d1d-e6ca9b922532</TermId>
        </TermInfo>
      </Terms>
    </pe2555c81638466f9eb614edb9ecde52>
    <g7bcb40ba23249a78edca7d43a67c1c9 xmlns="ef1c6b3d-2616-4020-9054-bdf2c47fde80">
      <Terms xmlns="http://schemas.microsoft.com/office/infopath/2007/PartnerControls">
        <TermInfo xmlns="http://schemas.microsoft.com/office/infopath/2007/PartnerControls">
          <TermName xmlns="http://schemas.microsoft.com/office/infopath/2007/PartnerControls">Engagement</TermName>
          <TermId xmlns="http://schemas.microsoft.com/office/infopath/2007/PartnerControls">70267ed8-6bd2-4b96-bc60-cce33581fb54</TermId>
        </TermInfo>
      </Terms>
    </g7bcb40ba23249a78edca7d43a67c1c9>
    <n99e4c9942c6404eb103464a00e6097b xmlns="ef1c6b3d-2616-4020-9054-bdf2c47fde80">
      <Terms xmlns="http://schemas.microsoft.com/office/infopath/2007/PartnerControls">
        <TermInfo xmlns="http://schemas.microsoft.com/office/infopath/2007/PartnerControls">
          <TermName xmlns="http://schemas.microsoft.com/office/infopath/2007/PartnerControls">2018</TermName>
          <TermId xmlns="http://schemas.microsoft.com/office/infopath/2007/PartnerControls">224abc7b-6f7e-4064-b773-6750976429b5</TermId>
        </TermInfo>
      </Terms>
    </n99e4c9942c6404eb103464a00e6097b>
    <adb9bed2e36e4a93af574aeb444da63e xmlns="ef1c6b3d-2616-4020-9054-bdf2c47fde80">
      <Terms xmlns="http://schemas.microsoft.com/office/infopath/2007/PartnerControls">
        <TermInfo xmlns="http://schemas.microsoft.com/office/infopath/2007/PartnerControls">
          <TermName xmlns="http://schemas.microsoft.com/office/infopath/2007/PartnerControls">legislative review</TermName>
          <TermId xmlns="http://schemas.microsoft.com/office/infopath/2007/PartnerControls">a9a2bc7a-7334-4fb7-b490-5f5bcf70e530</TermId>
        </TermInfo>
      </Terms>
    </adb9bed2e36e4a93af574aeb444da63e>
    <DocHub_MeetingDate xmlns="898be809-5e21-4b54-881d-d8a3488368c8" xsi:nil="true"/>
    <TaxCatchAll xmlns="ef1c6b3d-2616-4020-9054-bdf2c47fde80">
      <Value>270</Value>
      <Value>218</Value>
      <Value>352</Value>
      <Value>471</Value>
      <Value>4</Value>
      <Value>309</Value>
    </TaxCatchAll>
    <gabcb1eff41b4b4092332a967995e2a8 xmlns="898be809-5e21-4b54-881d-d8a3488368c8">
      <Terms xmlns="http://schemas.microsoft.com/office/infopath/2007/PartnerControls">
        <TermInfo xmlns="http://schemas.microsoft.com/office/infopath/2007/PartnerControls">
          <TermName xmlns="http://schemas.microsoft.com/office/infopath/2007/PartnerControls">Industry engagement</TermName>
          <TermId xmlns="http://schemas.microsoft.com/office/infopath/2007/PartnerControls">e162e7c5-bf32-46d2-82b5-f264b289273a</TermId>
        </TermInfo>
      </Terms>
    </gabcb1eff41b4b4092332a967995e2a8>
    <aa25a1a23adf4c92a153145de6afe324 xmlns="ef1c6b3d-2616-4020-9054-bdf2c47fde80">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Comments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99D9608FED8D498BCA2801844341AD" ma:contentTypeVersion="16" ma:contentTypeDescription="Create a new document." ma:contentTypeScope="" ma:versionID="693bb6ad6d6ae34433ea7e85c1f99f8d">
  <xsd:schema xmlns:xsd="http://www.w3.org/2001/XMLSchema" xmlns:xs="http://www.w3.org/2001/XMLSchema" xmlns:p="http://schemas.microsoft.com/office/2006/metadata/properties" xmlns:ns1="http://schemas.microsoft.com/sharepoint/v3" xmlns:ns2="ef1c6b3d-2616-4020-9054-bdf2c47fde80" xmlns:ns3="898be809-5e21-4b54-881d-d8a3488368c8" targetNamespace="http://schemas.microsoft.com/office/2006/metadata/properties" ma:root="true" ma:fieldsID="d52c7734ae02ff661815f0037df4c5eb" ns1:_="" ns2:_="" ns3:_="">
    <xsd:import namespace="http://schemas.microsoft.com/sharepoint/v3"/>
    <xsd:import namespace="ef1c6b3d-2616-4020-9054-bdf2c47fde80"/>
    <xsd:import namespace="898be809-5e21-4b54-881d-d8a3488368c8"/>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1:Comments" minOccurs="0"/>
                <xsd:element ref="ns3:DocHub_MeetingDate" minOccurs="0"/>
                <xsd:element ref="ns3:gabcb1eff41b4b4092332a967995e2a8"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2"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1c6b3d-2616-4020-9054-bdf2c47fde80"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dad33dd0-8c30-4cf3-ae64-570ad1bc4d6f}" ma:internalName="TaxCatchAll" ma:showField="CatchAllData" ma:web="898be809-5e21-4b54-881d-d8a3488368c8">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86c3a53-8547-45b0-a109-083f704d1385"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98be809-5e21-4b54-881d-d8a3488368c8" elementFormDefault="qualified">
    <xsd:import namespace="http://schemas.microsoft.com/office/2006/documentManagement/types"/>
    <xsd:import namespace="http://schemas.microsoft.com/office/infopath/2007/PartnerControls"/>
    <xsd:element name="DocHub_MeetingDate" ma:index="23" nillable="true" ma:displayName="Meeting Date" ma:description="Date of the meeting (DD/MM/YYYY)" ma:format="DateOnly" ma:internalName="DocHub_MeetingDate">
      <xsd:simpleType>
        <xsd:restriction base="dms:DateTime"/>
      </xsd:simpleType>
    </xsd:element>
    <xsd:element name="gabcb1eff41b4b4092332a967995e2a8" ma:index="25" nillable="true" ma:taxonomy="true" ma:internalName="gabcb1eff41b4b4092332a967995e2a8" ma:taxonomyFieldName="DocHub_WorkTopic" ma:displayName="Work Topic" ma:default="" ma:fieldId="{0abcb1ef-f41b-4b40-9233-2a967995e2a8}" ma:sspId="fb0313f7-9433-48c0-866e-9e0bbee59a50" ma:termSetId="58a2bccc-25c0-4473-9d2d-96641c2d7d3f" ma:anchorId="00000000-0000-0000-0000-000000000000" ma:open="false" ma:isKeyword="false">
      <xsd:complexType>
        <xsd:sequence>
          <xsd:element ref="pc:Terms" minOccurs="0" maxOccurs="1"/>
        </xsd:sequence>
      </xsd:complexType>
    </xsd:element>
    <xsd:element name="SharedWithUsers" ma:index="2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E8380-B7E1-4C1C-9299-D667F8D26B78}">
  <ds:schemaRefs>
    <ds:schemaRef ds:uri="http://schemas.microsoft.com/office/2006/metadata/properties"/>
    <ds:schemaRef ds:uri="http://schemas.microsoft.com/office/infopath/2007/PartnerControls"/>
    <ds:schemaRef ds:uri="ef1c6b3d-2616-4020-9054-bdf2c47fde80"/>
    <ds:schemaRef ds:uri="898be809-5e21-4b54-881d-d8a3488368c8"/>
    <ds:schemaRef ds:uri="http://schemas.microsoft.com/sharepoint/v3"/>
  </ds:schemaRefs>
</ds:datastoreItem>
</file>

<file path=customXml/itemProps2.xml><?xml version="1.0" encoding="utf-8"?>
<ds:datastoreItem xmlns:ds="http://schemas.openxmlformats.org/officeDocument/2006/customXml" ds:itemID="{4386E1E0-3488-4913-9D54-2AD3CFC0AFF7}">
  <ds:schemaRefs>
    <ds:schemaRef ds:uri="http://schemas.microsoft.com/sharepoint/events"/>
  </ds:schemaRefs>
</ds:datastoreItem>
</file>

<file path=customXml/itemProps3.xml><?xml version="1.0" encoding="utf-8"?>
<ds:datastoreItem xmlns:ds="http://schemas.openxmlformats.org/officeDocument/2006/customXml" ds:itemID="{F338B535-9FFF-4642-AC23-0B67EA46CE94}">
  <ds:schemaRefs>
    <ds:schemaRef ds:uri="http://schemas.microsoft.com/sharepoint/v3/contenttype/forms"/>
  </ds:schemaRefs>
</ds:datastoreItem>
</file>

<file path=customXml/itemProps4.xml><?xml version="1.0" encoding="utf-8"?>
<ds:datastoreItem xmlns:ds="http://schemas.openxmlformats.org/officeDocument/2006/customXml" ds:itemID="{FCF45ABA-7112-46F7-9438-BD70E6E08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1c6b3d-2616-4020-9054-bdf2c47fde80"/>
    <ds:schemaRef ds:uri="898be809-5e21-4b54-881d-d8a3488368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DC912B-158E-4AE7-8006-553312A64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4698</Words>
  <Characters>26780</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31416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2019-02-05T02:26:00Z</dcterms:created>
  <dcterms:modified xsi:type="dcterms:W3CDTF">2019-04-02T01:21:00Z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0x010100D199D9608FED8D498BCA2801844341AD</vt:lpwstr>
  </property>
  <property fmtid="{D5CDD505-2E9C-101B-9397-08002B2CF9AE}" pid="3" name="DocHub_Year">
    <vt:lpwstr>309;#2018|224abc7b-6f7e-4064-b773-6750976429b5</vt:lpwstr>
  </property>
  <property fmtid="{D5CDD505-2E9C-101B-9397-08002B2CF9AE}" pid="4" name="DocHub_DocumentType">
    <vt:lpwstr>218;#Paper|4fd73e9f-ceb6-4d3f-8d1d-e6ca9b922532</vt:lpwstr>
  </property>
  <property fmtid="{D5CDD505-2E9C-101B-9397-08002B2CF9AE}" pid="5" name="DocHub_SecurityClassification">
    <vt:lpwstr>4;#UNCLASSIFIED|6106d03b-a1a0-4e30-9d91-d5e9fb4314f9</vt:lpwstr>
  </property>
  <property fmtid="{D5CDD505-2E9C-101B-9397-08002B2CF9AE}" pid="6" name="DocHub_Keywords">
    <vt:lpwstr>270;#legislative review|a9a2bc7a-7334-4fb7-b490-5f5bcf70e530</vt:lpwstr>
  </property>
  <property fmtid="{D5CDD505-2E9C-101B-9397-08002B2CF9AE}" pid="7" name="DocHub_WorkActivity">
    <vt:lpwstr>471;#Engagement|70267ed8-6bd2-4b96-bc60-cce33581fb54</vt:lpwstr>
  </property>
  <property fmtid="{D5CDD505-2E9C-101B-9397-08002B2CF9AE}" pid="8" name="DocHub_WorkTopic">
    <vt:lpwstr>352;#Industry engagement|e162e7c5-bf32-46d2-82b5-f264b289273a</vt:lpwstr>
  </property>
</Properties>
</file>