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26" w:rsidRDefault="00A25CD6" w:rsidP="001A25AE">
      <w:pPr>
        <w:pStyle w:val="Title"/>
        <w:ind w:left="910" w:right="662"/>
      </w:pPr>
      <w:r>
        <w:t xml:space="preserve">Response to Consultation Paper </w:t>
      </w:r>
    </w:p>
    <w:p w:rsidR="002300AC" w:rsidRPr="00A25CD6" w:rsidRDefault="00A25CD6" w:rsidP="001A25AE">
      <w:pPr>
        <w:pStyle w:val="Subtitle"/>
        <w:ind w:left="910" w:right="662"/>
        <w:rPr>
          <w:sz w:val="44"/>
        </w:rPr>
      </w:pPr>
      <w:r w:rsidRPr="00A25CD6">
        <w:rPr>
          <w:sz w:val="44"/>
        </w:rPr>
        <w:t xml:space="preserve">New Pattern Approval Requirements for Non-automatic Weighing Instruments </w:t>
      </w:r>
    </w:p>
    <w:p w:rsidR="00163B54" w:rsidRPr="006040A4" w:rsidRDefault="000E253B" w:rsidP="001A25AE">
      <w:pPr>
        <w:pStyle w:val="Subtitle"/>
        <w:ind w:left="910" w:right="662"/>
      </w:pPr>
      <w:r>
        <w:t>October</w:t>
      </w:r>
      <w:r w:rsidRPr="006040A4">
        <w:t xml:space="preserve"> </w:t>
      </w:r>
      <w:r w:rsidR="00A25CD6" w:rsidRPr="006040A4">
        <w:t>2015</w:t>
      </w:r>
    </w:p>
    <w:p w:rsidR="006040A4" w:rsidRDefault="006040A4">
      <w:pPr>
        <w:spacing w:after="200"/>
        <w:rPr>
          <w:rStyle w:val="Hyperlink"/>
        </w:rPr>
      </w:pPr>
      <w:r>
        <w:rPr>
          <w:rStyle w:val="Hyperlink"/>
        </w:rPr>
        <w:br w:type="page"/>
      </w:r>
    </w:p>
    <w:p w:rsidR="006040A4" w:rsidRDefault="006040A4" w:rsidP="00A25CD6">
      <w:pPr>
        <w:ind w:left="910" w:right="662"/>
        <w:rPr>
          <w:rStyle w:val="Hyperlink"/>
        </w:rPr>
        <w:sectPr w:rsidR="006040A4" w:rsidSect="0088639D">
          <w:head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163B54" w:rsidRDefault="00A25CD6" w:rsidP="00163B54">
      <w:pPr>
        <w:pStyle w:val="Heading1"/>
      </w:pPr>
      <w:bookmarkStart w:id="0" w:name="_Toc430867019"/>
      <w:bookmarkStart w:id="1" w:name="_Toc431371630"/>
      <w:bookmarkStart w:id="2" w:name="_Toc419991345"/>
      <w:r>
        <w:t>Introduction</w:t>
      </w:r>
      <w:bookmarkEnd w:id="0"/>
      <w:bookmarkEnd w:id="1"/>
    </w:p>
    <w:p w:rsidR="00163B54" w:rsidRPr="001A2801" w:rsidRDefault="00A25CD6" w:rsidP="00163B54">
      <w:pPr>
        <w:rPr>
          <w:szCs w:val="20"/>
        </w:rPr>
      </w:pPr>
      <w:r>
        <w:rPr>
          <w:szCs w:val="20"/>
        </w:rPr>
        <w:t xml:space="preserve">This document provides responses and </w:t>
      </w:r>
      <w:r w:rsidR="001A2801">
        <w:rPr>
          <w:szCs w:val="20"/>
        </w:rPr>
        <w:t>outcomes</w:t>
      </w:r>
      <w:r>
        <w:rPr>
          <w:szCs w:val="20"/>
        </w:rPr>
        <w:t xml:space="preserve"> from </w:t>
      </w:r>
      <w:r w:rsidR="001C2787">
        <w:rPr>
          <w:szCs w:val="20"/>
        </w:rPr>
        <w:t xml:space="preserve">the Consultation Paper </w:t>
      </w:r>
      <w:r>
        <w:rPr>
          <w:szCs w:val="20"/>
        </w:rPr>
        <w:t>“New Pattern Approval Requirements for Non-automatic Weighing Instruments”</w:t>
      </w:r>
      <w:r w:rsidR="006A269D">
        <w:rPr>
          <w:szCs w:val="20"/>
        </w:rPr>
        <w:t xml:space="preserve">, </w:t>
      </w:r>
      <w:r w:rsidR="007F3774">
        <w:rPr>
          <w:szCs w:val="20"/>
        </w:rPr>
        <w:t xml:space="preserve">published by the National Measurement Institute (NMI) on 3 </w:t>
      </w:r>
      <w:r w:rsidR="006A269D">
        <w:rPr>
          <w:szCs w:val="20"/>
        </w:rPr>
        <w:t>August</w:t>
      </w:r>
      <w:r>
        <w:rPr>
          <w:szCs w:val="20"/>
        </w:rPr>
        <w:t xml:space="preserve"> 2015. The </w:t>
      </w:r>
      <w:r w:rsidR="007F3774">
        <w:rPr>
          <w:szCs w:val="20"/>
        </w:rPr>
        <w:t>C</w:t>
      </w:r>
      <w:r>
        <w:rPr>
          <w:szCs w:val="20"/>
        </w:rPr>
        <w:t xml:space="preserve">onsultation </w:t>
      </w:r>
      <w:r w:rsidR="007F3774">
        <w:rPr>
          <w:szCs w:val="20"/>
        </w:rPr>
        <w:t>P</w:t>
      </w:r>
      <w:r w:rsidR="001A2801">
        <w:rPr>
          <w:szCs w:val="20"/>
        </w:rPr>
        <w:t>aper sough</w:t>
      </w:r>
      <w:r w:rsidR="00052EDC">
        <w:rPr>
          <w:szCs w:val="20"/>
        </w:rPr>
        <w:t>t</w:t>
      </w:r>
      <w:r w:rsidR="001A2801">
        <w:rPr>
          <w:szCs w:val="20"/>
        </w:rPr>
        <w:t xml:space="preserve"> stakeholder input to the</w:t>
      </w:r>
      <w:r w:rsidR="006A269D">
        <w:rPr>
          <w:szCs w:val="20"/>
        </w:rPr>
        <w:t xml:space="preserve"> </w:t>
      </w:r>
      <w:r w:rsidR="006A269D" w:rsidRPr="006A269D">
        <w:rPr>
          <w:szCs w:val="20"/>
        </w:rPr>
        <w:t xml:space="preserve">draft version of NMI R 76 Non-automatic Weighing Instruments </w:t>
      </w:r>
      <w:r w:rsidR="007F3774">
        <w:rPr>
          <w:szCs w:val="20"/>
        </w:rPr>
        <w:t xml:space="preserve">which is </w:t>
      </w:r>
      <w:r w:rsidR="006A269D" w:rsidRPr="006A269D">
        <w:rPr>
          <w:szCs w:val="20"/>
        </w:rPr>
        <w:t>based on the 2006 edition of the international standard OIML R 76</w:t>
      </w:r>
      <w:r w:rsidR="006A269D">
        <w:rPr>
          <w:szCs w:val="20"/>
        </w:rPr>
        <w:t>.</w:t>
      </w:r>
    </w:p>
    <w:p w:rsidR="001A2801" w:rsidRDefault="001A2801" w:rsidP="001A2801">
      <w:pPr>
        <w:pStyle w:val="Heading1"/>
      </w:pPr>
      <w:bookmarkStart w:id="3" w:name="_Toc426670909"/>
      <w:bookmarkStart w:id="4" w:name="_Toc430867020"/>
      <w:bookmarkStart w:id="5" w:name="_Toc431371631"/>
      <w:bookmarkEnd w:id="2"/>
      <w:r>
        <w:t>The Consultation Process</w:t>
      </w:r>
      <w:bookmarkEnd w:id="3"/>
      <w:bookmarkEnd w:id="4"/>
      <w:bookmarkEnd w:id="5"/>
    </w:p>
    <w:p w:rsidR="006040A4" w:rsidRDefault="001A2801" w:rsidP="001C2787">
      <w:r>
        <w:t xml:space="preserve">The consultation process involved the release of a consultation paper </w:t>
      </w:r>
      <w:r w:rsidR="006A269D">
        <w:t>which sought stakeholder feedback into</w:t>
      </w:r>
      <w:r>
        <w:t xml:space="preserve"> the proposed adoption of the</w:t>
      </w:r>
      <w:r w:rsidR="006A269D">
        <w:t xml:space="preserve"> </w:t>
      </w:r>
      <w:r w:rsidR="007F3774">
        <w:t xml:space="preserve">revised </w:t>
      </w:r>
      <w:r w:rsidR="006A269D">
        <w:t>international pattern approval requirements for non-automatic weighing instruments</w:t>
      </w:r>
      <w:r>
        <w:t xml:space="preserve">. The consultation </w:t>
      </w:r>
      <w:r w:rsidR="001E15B8">
        <w:t xml:space="preserve">paper was published </w:t>
      </w:r>
      <w:hyperlink r:id="rId13" w:history="1">
        <w:r w:rsidR="001E15B8" w:rsidRPr="001E15B8">
          <w:rPr>
            <w:rStyle w:val="Hyperlink"/>
          </w:rPr>
          <w:t>here</w:t>
        </w:r>
      </w:hyperlink>
      <w:r w:rsidR="001E15B8">
        <w:t xml:space="preserve"> on the </w:t>
      </w:r>
      <w:r w:rsidRPr="004568A3">
        <w:t>NMI website</w:t>
      </w:r>
      <w:r w:rsidR="001E15B8">
        <w:t>.</w:t>
      </w:r>
    </w:p>
    <w:p w:rsidR="001C2787" w:rsidRDefault="001A2801" w:rsidP="001C2787">
      <w:r>
        <w:t xml:space="preserve">In addition, NMI </w:t>
      </w:r>
      <w:r w:rsidR="001E15B8">
        <w:t xml:space="preserve">advised all known </w:t>
      </w:r>
      <w:r>
        <w:t>stakeholders</w:t>
      </w:r>
      <w:r w:rsidR="001E15B8">
        <w:t xml:space="preserve"> of the consultation via email.</w:t>
      </w:r>
      <w:r w:rsidR="001E15B8" w:rsidRPr="001E15B8">
        <w:t xml:space="preserve"> </w:t>
      </w:r>
      <w:r w:rsidR="001E15B8">
        <w:t>These stakeholders included manufacturers, servicing licensees and consumer and industry association</w:t>
      </w:r>
      <w:r w:rsidR="007F3774">
        <w:t>s</w:t>
      </w:r>
      <w:r w:rsidR="001E15B8">
        <w:t xml:space="preserve"> via the NMI’s </w:t>
      </w:r>
      <w:hyperlink r:id="rId14" w:history="1">
        <w:r w:rsidR="001E15B8" w:rsidRPr="001E15B8">
          <w:rPr>
            <w:rStyle w:val="Hyperlink"/>
          </w:rPr>
          <w:t>Consumer and Industry Liaison Committee (CILC)</w:t>
        </w:r>
      </w:hyperlink>
      <w:r w:rsidR="001E15B8">
        <w:t xml:space="preserve">. </w:t>
      </w:r>
    </w:p>
    <w:p w:rsidR="00975726" w:rsidRPr="00975726" w:rsidRDefault="001A2801" w:rsidP="001C2787">
      <w:pPr>
        <w:pStyle w:val="Heading1"/>
      </w:pPr>
      <w:bookmarkStart w:id="6" w:name="_Toc430867021"/>
      <w:bookmarkStart w:id="7" w:name="_Toc431371632"/>
      <w:r>
        <w:t>Outcomes</w:t>
      </w:r>
      <w:bookmarkEnd w:id="6"/>
      <w:bookmarkEnd w:id="7"/>
    </w:p>
    <w:p w:rsidR="00975726" w:rsidRPr="001A2801" w:rsidRDefault="001A2801" w:rsidP="00975726">
      <w:pPr>
        <w:pStyle w:val="Heading2"/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0"/>
        </w:rPr>
      </w:pPr>
      <w:bookmarkStart w:id="8" w:name="_Toc430867022"/>
      <w:bookmarkStart w:id="9" w:name="_Toc431371633"/>
      <w:r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0"/>
        </w:rPr>
        <w:t xml:space="preserve">The outcomes </w:t>
      </w:r>
      <w:r w:rsidR="006A269D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0"/>
        </w:rPr>
        <w:t xml:space="preserve">from </w:t>
      </w:r>
      <w:r w:rsidR="00661C9E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0"/>
        </w:rPr>
        <w:t>submissions received are detailed below:</w:t>
      </w:r>
      <w:bookmarkEnd w:id="8"/>
      <w:bookmarkEnd w:id="9"/>
      <w:r w:rsidR="00661C9E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0"/>
        </w:rPr>
        <w:t xml:space="preserve"> </w:t>
      </w:r>
    </w:p>
    <w:p w:rsidR="00071DE4" w:rsidRPr="00071DE4" w:rsidRDefault="00661C9E" w:rsidP="00071DE4">
      <w:pPr>
        <w:pStyle w:val="Heading3"/>
        <w:spacing w:after="240"/>
      </w:pPr>
      <w:bookmarkStart w:id="10" w:name="_Toc431371634"/>
      <w:r>
        <w:t>Question 1:</w:t>
      </w:r>
      <w:bookmarkEnd w:id="10"/>
      <w:r>
        <w:t xml:space="preserve"> </w:t>
      </w:r>
    </w:p>
    <w:p w:rsidR="0034038D" w:rsidRDefault="00071DE4" w:rsidP="0034038D">
      <w:pPr>
        <w:pStyle w:val="Casestudy"/>
      </w:pPr>
      <w:r>
        <w:t>NMI proposes to adopt OIML R 76 as NMI R 76 to be the pattern approval standard for non-automatic weighing instruments in Australia. Do you have any comments on the adoption or content of the proposed standard, including NMI’s amendments?</w:t>
      </w:r>
    </w:p>
    <w:p w:rsidR="00E02DFD" w:rsidRPr="0034038D" w:rsidRDefault="00661C9E" w:rsidP="0034038D">
      <w:pPr>
        <w:pStyle w:val="Casestudy"/>
        <w:rPr>
          <w:rStyle w:val="Tabletitle"/>
          <w:b w:val="0"/>
          <w:color w:val="000000" w:themeColor="text1"/>
        </w:rPr>
      </w:pPr>
      <w:r w:rsidRPr="0034038D">
        <w:rPr>
          <w:rStyle w:val="Tabletitle"/>
          <w:rFonts w:asciiTheme="majorHAnsi" w:eastAsiaTheme="majorEastAsia" w:hAnsiTheme="majorHAnsi" w:cstheme="majorBidi"/>
          <w:i/>
          <w:color w:val="000000" w:themeColor="text1"/>
        </w:rPr>
        <w:t>Outcome: The proposed adoption is supported by stakeholders</w:t>
      </w:r>
      <w:r w:rsidR="009C10E6" w:rsidRPr="0034038D">
        <w:rPr>
          <w:rStyle w:val="Tabletitle"/>
          <w:rFonts w:asciiTheme="majorHAnsi" w:eastAsiaTheme="majorEastAsia" w:hAnsiTheme="majorHAnsi" w:cstheme="majorBidi"/>
          <w:i/>
          <w:color w:val="000000" w:themeColor="text1"/>
        </w:rPr>
        <w:t>.</w:t>
      </w:r>
    </w:p>
    <w:p w:rsidR="001C2787" w:rsidRPr="001C2787" w:rsidRDefault="00E02DFD" w:rsidP="001C2787">
      <w:pPr>
        <w:pStyle w:val="Heading4"/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</w:pPr>
      <w:r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Submissions</w:t>
      </w:r>
      <w:r w:rsidR="00661C9E"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received from stakeholders supported the adoption of the new revised international standard (OIML R 76:2006) f</w:t>
      </w:r>
      <w:r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or use in Australia to align the Australian requirements with other countries which have adopted</w:t>
      </w:r>
      <w:r w:rsidR="001E15B8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, or will adopt,</w:t>
      </w:r>
      <w:r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OIML R 76:2006.</w:t>
      </w:r>
      <w:r w:rsidR="00661C9E"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</w:t>
      </w:r>
    </w:p>
    <w:p w:rsidR="00071DE4" w:rsidRPr="00071DE4" w:rsidRDefault="00E02DFD" w:rsidP="00071DE4">
      <w:pPr>
        <w:pStyle w:val="Heading3"/>
      </w:pPr>
      <w:bookmarkStart w:id="11" w:name="_Toc431371635"/>
      <w:r>
        <w:t>Question 2:</w:t>
      </w:r>
      <w:bookmarkEnd w:id="11"/>
      <w:r>
        <w:t xml:space="preserve"> </w:t>
      </w:r>
    </w:p>
    <w:p w:rsidR="00071DE4" w:rsidRDefault="00071DE4" w:rsidP="00071DE4">
      <w:pPr>
        <w:pStyle w:val="Casestudy"/>
        <w:spacing w:before="240"/>
      </w:pPr>
      <w:r>
        <w:t>Do you believe any additional amendments should be made to NMI R 76? If so, please specify and provide details.</w:t>
      </w:r>
    </w:p>
    <w:p w:rsidR="00071DE4" w:rsidRPr="00071DE4" w:rsidRDefault="00071DE4" w:rsidP="00071DE4">
      <w:pPr>
        <w:pStyle w:val="Casestudy"/>
        <w:spacing w:before="240"/>
      </w:pPr>
      <w:r>
        <w:rPr>
          <w:b/>
          <w:bCs/>
          <w:i/>
          <w:iCs/>
        </w:rPr>
        <w:t>Outcome: Stakeholder raised concerns regarding the format style of the NMI R 76 document.</w:t>
      </w:r>
    </w:p>
    <w:p w:rsidR="00661C9E" w:rsidRPr="009C10E6" w:rsidRDefault="001C2787" w:rsidP="009C10E6">
      <w:pPr>
        <w:pStyle w:val="Heading4"/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</w:pPr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C</w:t>
      </w:r>
      <w:r w:rsidR="00E02DFD"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oncerns </w:t>
      </w:r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were raised by some stakeholders </w:t>
      </w:r>
      <w:r w:rsidR="00E02DFD"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regarding th</w:t>
      </w:r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e formatting style of the NMI </w:t>
      </w:r>
      <w:r w:rsidR="00E02DFD"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R 76 document. </w:t>
      </w:r>
      <w:r w:rsidR="005C135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The format style of </w:t>
      </w:r>
      <w:proofErr w:type="spellStart"/>
      <w:r w:rsidR="005C135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NMI</w:t>
      </w:r>
      <w:proofErr w:type="spellEnd"/>
      <w:r w:rsidR="005C135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R 76 reflects </w:t>
      </w:r>
      <w:proofErr w:type="spellStart"/>
      <w:r w:rsidR="005C135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OIML</w:t>
      </w:r>
      <w:proofErr w:type="spellEnd"/>
      <w:r w:rsidR="005C135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R 76 and was retained to ensure consistency </w:t>
      </w:r>
      <w:r w:rsidR="00F56937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with the international standard</w:t>
      </w:r>
      <w:r w:rsidR="005C135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. </w:t>
      </w:r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However, </w:t>
      </w:r>
      <w:r w:rsidR="001E15B8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please note that</w:t>
      </w:r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NMI</w:t>
      </w:r>
      <w:proofErr w:type="spellEnd"/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</w:t>
      </w:r>
      <w:r w:rsidR="00E02DFD"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has undertaken work to </w:t>
      </w:r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amend</w:t>
      </w:r>
      <w:r w:rsidR="00E02DFD"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the </w:t>
      </w:r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NMI </w:t>
      </w:r>
      <w:r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R 76 </w:t>
      </w:r>
      <w:r w:rsidR="00E02DFD" w:rsidRPr="00E02DF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document to include hyperlinks and in-text search references to allow readers greater ability to n</w:t>
      </w:r>
      <w: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avigate and search the document</w:t>
      </w:r>
      <w:r w:rsidR="009C10E6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.</w:t>
      </w:r>
    </w:p>
    <w:p w:rsidR="006040A4" w:rsidRDefault="006040A4">
      <w:pPr>
        <w:spacing w:after="200"/>
        <w:rPr>
          <w:rFonts w:asciiTheme="majorHAnsi" w:eastAsiaTheme="majorEastAsia" w:hAnsiTheme="majorHAnsi" w:cstheme="majorBidi"/>
          <w:b/>
          <w:bCs/>
          <w:color w:val="A6192E" w:themeColor="accent1"/>
        </w:rPr>
      </w:pPr>
      <w:bookmarkStart w:id="12" w:name="_Toc431371636"/>
      <w:bookmarkStart w:id="13" w:name="_Toc419991348"/>
      <w:r>
        <w:br w:type="page"/>
      </w:r>
    </w:p>
    <w:p w:rsidR="009C10E6" w:rsidRDefault="009C10E6" w:rsidP="009C10E6">
      <w:pPr>
        <w:pStyle w:val="Heading3"/>
      </w:pPr>
      <w:r>
        <w:t>Question 3:</w:t>
      </w:r>
      <w:bookmarkEnd w:id="12"/>
      <w:r>
        <w:t xml:space="preserve"> </w:t>
      </w:r>
    </w:p>
    <w:p w:rsidR="0034038D" w:rsidRDefault="009C10E6" w:rsidP="0034038D">
      <w:pPr>
        <w:pStyle w:val="Casestudy"/>
        <w:spacing w:before="240"/>
        <w:rPr>
          <w:color w:val="000000" w:themeColor="text1"/>
        </w:rPr>
      </w:pPr>
      <w:r w:rsidRPr="009C10E6">
        <w:rPr>
          <w:color w:val="000000" w:themeColor="text1"/>
        </w:rPr>
        <w:t xml:space="preserve">Concerning compatibility of modules, should NMI adopt OIML R 76 Annex F or retain the present General Certificate 6B/0, or accept either? What issues might arise from these options? </w:t>
      </w:r>
      <w:r>
        <w:rPr>
          <w:i/>
          <w:iCs/>
          <w:color w:val="000000" w:themeColor="text1"/>
        </w:rPr>
        <w:br/>
      </w:r>
      <w:r w:rsidRPr="009C10E6">
        <w:rPr>
          <w:color w:val="000000" w:themeColor="text1"/>
        </w:rPr>
        <w:t>Note: In considering this it should be noted that some information needed to carry out a compatibility of modules analysis according to Annex F may not be available in existing certificates of approval (or at all).</w:t>
      </w:r>
    </w:p>
    <w:p w:rsidR="009C10E6" w:rsidRPr="0034038D" w:rsidRDefault="009C10E6" w:rsidP="0034038D">
      <w:pPr>
        <w:pStyle w:val="Casestudy"/>
        <w:spacing w:before="240"/>
        <w:rPr>
          <w:b/>
          <w:i/>
          <w:color w:val="000000" w:themeColor="text1"/>
        </w:rPr>
      </w:pPr>
      <w:r w:rsidRPr="0034038D">
        <w:rPr>
          <w:rStyle w:val="Tabletitle"/>
          <w:i/>
          <w:color w:val="000000" w:themeColor="text1"/>
        </w:rPr>
        <w:t>Outcome</w:t>
      </w:r>
      <w:r w:rsidRPr="0034038D">
        <w:rPr>
          <w:rStyle w:val="Tabletitle"/>
          <w:b w:val="0"/>
          <w:i/>
          <w:color w:val="000000" w:themeColor="text1"/>
        </w:rPr>
        <w:t>:</w:t>
      </w:r>
      <w:r w:rsidR="0034038D" w:rsidRPr="0034038D">
        <w:rPr>
          <w:rStyle w:val="Tabletitle"/>
          <w:i/>
          <w:color w:val="000000" w:themeColor="text1"/>
        </w:rPr>
        <w:t xml:space="preserve"> </w:t>
      </w:r>
      <w:r w:rsidRPr="0034038D">
        <w:rPr>
          <w:rStyle w:val="Tabletitle"/>
          <w:rFonts w:asciiTheme="majorHAnsi" w:eastAsiaTheme="majorEastAsia" w:hAnsiTheme="majorHAnsi" w:cstheme="majorBidi"/>
          <w:i/>
          <w:color w:val="000000" w:themeColor="text1"/>
        </w:rPr>
        <w:t xml:space="preserve">Stakeholders raised concerns regarding the </w:t>
      </w:r>
      <w:r w:rsidRPr="0034038D">
        <w:rPr>
          <w:rStyle w:val="Tabletitle"/>
          <w:i/>
          <w:color w:val="000000" w:themeColor="text1"/>
        </w:rPr>
        <w:t>compatibility of modules.</w:t>
      </w:r>
      <w:r w:rsidRPr="0034038D">
        <w:rPr>
          <w:b/>
          <w:bCs/>
          <w:i/>
          <w:iCs/>
        </w:rPr>
        <w:t xml:space="preserve"> </w:t>
      </w:r>
    </w:p>
    <w:p w:rsidR="0034038D" w:rsidRDefault="0034038D" w:rsidP="009C10E6">
      <w:pPr>
        <w:pStyle w:val="Heading4"/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sectPr w:rsidR="0034038D" w:rsidSect="006040A4">
          <w:headerReference w:type="default" r:id="rId15"/>
          <w:footerReference w:type="default" r:id="rId16"/>
          <w:pgSz w:w="11906" w:h="16838"/>
          <w:pgMar w:top="1440" w:right="1440" w:bottom="1134" w:left="1440" w:header="708" w:footer="708" w:gutter="0"/>
          <w:pgNumType w:start="1"/>
          <w:cols w:space="708"/>
          <w:docGrid w:linePitch="360"/>
        </w:sectPr>
      </w:pPr>
    </w:p>
    <w:p w:rsidR="0034038D" w:rsidRDefault="0034038D" w:rsidP="009C10E6">
      <w:pPr>
        <w:pStyle w:val="Heading4"/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</w:pPr>
      <w:r w:rsidRPr="0034038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NMI has considered suggestions regarding the compatibility of modules after the adoption of OIML R-76:2006. </w:t>
      </w:r>
      <w:proofErr w:type="spellStart"/>
      <w:r w:rsidRPr="0034038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NMI</w:t>
      </w:r>
      <w:proofErr w:type="spellEnd"/>
      <w:r w:rsidRPr="0034038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intends </w:t>
      </w:r>
      <w:r w:rsidR="007F3774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to</w:t>
      </w:r>
      <w:r w:rsidR="007F3774" w:rsidRPr="0034038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</w:t>
      </w:r>
      <w:r w:rsidRPr="0034038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continu</w:t>
      </w:r>
      <w:r w:rsidR="007F3774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>e</w:t>
      </w:r>
      <w:r w:rsidRPr="0034038D"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t xml:space="preserve"> with the current system of conversion certificates for measuring instruments associated with General Certificate 6B/0 analysis. </w:t>
      </w:r>
    </w:p>
    <w:p w:rsidR="009C10E6" w:rsidRPr="009C10E6" w:rsidRDefault="009C10E6" w:rsidP="009C10E6">
      <w:pPr>
        <w:pStyle w:val="Heading4"/>
        <w:rPr>
          <w:b w:val="0"/>
          <w:i w:val="0"/>
          <w:color w:val="000000"/>
        </w:rPr>
      </w:pPr>
      <w:r w:rsidRPr="009C10E6">
        <w:rPr>
          <w:b w:val="0"/>
          <w:i w:val="0"/>
          <w:color w:val="000000"/>
        </w:rPr>
        <w:t>At this time, conversion via calculations provided in Annex F of OIML R 76:2006 will not be made available for use by conversion certificate holders. However, NMI intends to commence providing sufficient information and data in certificates of approval to support a system which may be put in place in the future to enable conversion via Annex F of OIML R 76:2006. NMI intends on reviewing this in due course and further consultation would be required to implement any such system. Annex F will be applicable as part of an application for approval of a weighing instrument.</w:t>
      </w:r>
    </w:p>
    <w:p w:rsidR="009C10E6" w:rsidRDefault="009C10E6" w:rsidP="009C10E6">
      <w:pPr>
        <w:pStyle w:val="Heading3"/>
      </w:pPr>
      <w:bookmarkStart w:id="14" w:name="_Toc431371637"/>
      <w:r>
        <w:t>Question 4:</w:t>
      </w:r>
      <w:bookmarkEnd w:id="14"/>
      <w:r>
        <w:t xml:space="preserve"> </w:t>
      </w:r>
    </w:p>
    <w:p w:rsidR="0034038D" w:rsidRDefault="00071DE4" w:rsidP="0034038D">
      <w:pPr>
        <w:pStyle w:val="Casestudy"/>
        <w:spacing w:before="240"/>
        <w:rPr>
          <w:rStyle w:val="Tabletitle"/>
          <w:b w:val="0"/>
          <w:color w:val="000000" w:themeColor="text1"/>
        </w:rPr>
      </w:pPr>
      <w:r w:rsidRPr="00071DE4">
        <w:rPr>
          <w:color w:val="000000" w:themeColor="text1"/>
        </w:rPr>
        <w:t>Do you support the proposed timeframe for adoption of the new standard?</w:t>
      </w:r>
      <w:r w:rsidRPr="00071DE4">
        <w:rPr>
          <w:rStyle w:val="Tabletitle"/>
          <w:b w:val="0"/>
          <w:color w:val="000000" w:themeColor="text1"/>
        </w:rPr>
        <w:t xml:space="preserve"> </w:t>
      </w:r>
    </w:p>
    <w:p w:rsidR="009C10E6" w:rsidRDefault="009C10E6" w:rsidP="0034038D">
      <w:pPr>
        <w:pStyle w:val="Casestudy"/>
        <w:spacing w:before="240"/>
        <w:rPr>
          <w:rStyle w:val="Tabletitle"/>
          <w:i/>
          <w:color w:val="000000" w:themeColor="text1"/>
        </w:rPr>
      </w:pPr>
      <w:r w:rsidRPr="0034038D">
        <w:rPr>
          <w:rStyle w:val="Tabletitle"/>
          <w:i/>
          <w:color w:val="000000" w:themeColor="text1"/>
        </w:rPr>
        <w:t>Outcome</w:t>
      </w:r>
      <w:r w:rsidRPr="0034038D">
        <w:rPr>
          <w:rStyle w:val="Tabletitle"/>
          <w:b w:val="0"/>
          <w:i/>
          <w:color w:val="000000" w:themeColor="text1"/>
        </w:rPr>
        <w:t>:</w:t>
      </w:r>
      <w:r w:rsidR="0034038D" w:rsidRPr="0034038D">
        <w:rPr>
          <w:rStyle w:val="Tabletitle"/>
          <w:i/>
          <w:color w:val="000000" w:themeColor="text1"/>
        </w:rPr>
        <w:t xml:space="preserve"> </w:t>
      </w:r>
      <w:r w:rsidRPr="0034038D">
        <w:rPr>
          <w:rStyle w:val="Tabletitle"/>
          <w:rFonts w:asciiTheme="majorHAnsi" w:eastAsiaTheme="majorEastAsia" w:hAnsiTheme="majorHAnsi" w:cstheme="majorBidi"/>
          <w:i/>
          <w:color w:val="000000" w:themeColor="text1"/>
        </w:rPr>
        <w:t xml:space="preserve">Stakeholders raised concerns regarding the </w:t>
      </w:r>
      <w:r w:rsidR="00071DE4" w:rsidRPr="0034038D">
        <w:rPr>
          <w:rStyle w:val="Tabletitle"/>
          <w:i/>
          <w:color w:val="000000" w:themeColor="text1"/>
        </w:rPr>
        <w:t>proposed timeframe for adoption of OIML R 76:2006</w:t>
      </w:r>
      <w:r w:rsidRPr="0034038D">
        <w:rPr>
          <w:rStyle w:val="Tabletitle"/>
          <w:i/>
          <w:color w:val="000000" w:themeColor="text1"/>
        </w:rPr>
        <w:t>.</w:t>
      </w:r>
    </w:p>
    <w:p w:rsidR="009C10E6" w:rsidRPr="009C10E6" w:rsidRDefault="00071DE4" w:rsidP="009C10E6">
      <w:pPr>
        <w:pStyle w:val="Heading2"/>
        <w:rPr>
          <w:b w:val="0"/>
          <w:iCs/>
          <w:color w:val="000000"/>
          <w:sz w:val="20"/>
          <w:szCs w:val="22"/>
        </w:rPr>
      </w:pPr>
      <w:bookmarkStart w:id="15" w:name="_Toc430867023"/>
      <w:bookmarkStart w:id="16" w:name="_Toc431371638"/>
      <w:r>
        <w:rPr>
          <w:b w:val="0"/>
          <w:iCs/>
          <w:color w:val="000000"/>
          <w:sz w:val="20"/>
          <w:szCs w:val="22"/>
        </w:rPr>
        <w:t>F</w:t>
      </w:r>
      <w:r w:rsidR="009C10E6" w:rsidRPr="009C10E6">
        <w:rPr>
          <w:b w:val="0"/>
          <w:iCs/>
          <w:color w:val="000000"/>
          <w:sz w:val="20"/>
          <w:szCs w:val="22"/>
        </w:rPr>
        <w:t xml:space="preserve">ollowing </w:t>
      </w:r>
      <w:r w:rsidR="006B4858">
        <w:rPr>
          <w:b w:val="0"/>
          <w:iCs/>
          <w:color w:val="000000"/>
          <w:sz w:val="20"/>
          <w:szCs w:val="22"/>
        </w:rPr>
        <w:t>stakeholder</w:t>
      </w:r>
      <w:r w:rsidR="009C10E6" w:rsidRPr="009C10E6">
        <w:rPr>
          <w:b w:val="0"/>
          <w:iCs/>
          <w:color w:val="000000"/>
          <w:sz w:val="20"/>
          <w:szCs w:val="22"/>
        </w:rPr>
        <w:t xml:space="preserve"> feedback NMI will extend the transitio</w:t>
      </w:r>
      <w:r>
        <w:rPr>
          <w:b w:val="0"/>
          <w:iCs/>
          <w:color w:val="000000"/>
          <w:sz w:val="20"/>
          <w:szCs w:val="22"/>
        </w:rPr>
        <w:t xml:space="preserve">n period for adoption of </w:t>
      </w:r>
      <w:r>
        <w:rPr>
          <w:b w:val="0"/>
          <w:iCs/>
          <w:color w:val="000000"/>
          <w:sz w:val="20"/>
          <w:szCs w:val="22"/>
        </w:rPr>
        <w:br/>
        <w:t xml:space="preserve">OIML R </w:t>
      </w:r>
      <w:r w:rsidR="009C10E6" w:rsidRPr="009C10E6">
        <w:rPr>
          <w:b w:val="0"/>
          <w:iCs/>
          <w:color w:val="000000"/>
          <w:sz w:val="20"/>
          <w:szCs w:val="22"/>
        </w:rPr>
        <w:t>76:2006 due for review. The transi</w:t>
      </w:r>
      <w:r w:rsidR="009C10E6">
        <w:rPr>
          <w:b w:val="0"/>
          <w:iCs/>
          <w:color w:val="000000"/>
          <w:sz w:val="20"/>
          <w:szCs w:val="22"/>
        </w:rPr>
        <w:t>tion time frames are as follows:</w:t>
      </w:r>
      <w:bookmarkEnd w:id="15"/>
      <w:bookmarkEnd w:id="16"/>
    </w:p>
    <w:p w:rsidR="009C10E6" w:rsidRPr="009C10E6" w:rsidRDefault="009C10E6" w:rsidP="009C10E6">
      <w:pPr>
        <w:pStyle w:val="Heading2"/>
        <w:numPr>
          <w:ilvl w:val="0"/>
          <w:numId w:val="12"/>
        </w:numPr>
        <w:rPr>
          <w:b w:val="0"/>
          <w:iCs/>
          <w:color w:val="000000"/>
          <w:sz w:val="20"/>
          <w:szCs w:val="22"/>
        </w:rPr>
      </w:pPr>
      <w:bookmarkStart w:id="17" w:name="_Toc430867024"/>
      <w:bookmarkStart w:id="18" w:name="_Toc431371639"/>
      <w:r w:rsidRPr="009C10E6">
        <w:rPr>
          <w:b w:val="0"/>
          <w:iCs/>
          <w:color w:val="000000"/>
          <w:sz w:val="20"/>
          <w:szCs w:val="22"/>
        </w:rPr>
        <w:t>Applications fo</w:t>
      </w:r>
      <w:r>
        <w:rPr>
          <w:b w:val="0"/>
          <w:iCs/>
          <w:color w:val="000000"/>
          <w:sz w:val="20"/>
          <w:szCs w:val="22"/>
        </w:rPr>
        <w:t xml:space="preserve">r </w:t>
      </w:r>
      <w:r w:rsidRPr="009C10E6">
        <w:rPr>
          <w:b w:val="0"/>
          <w:iCs/>
          <w:color w:val="000000"/>
          <w:sz w:val="20"/>
          <w:szCs w:val="22"/>
        </w:rPr>
        <w:t>new approvals received on or after 1 August 2020 will be assessed against the new requirements (adoption of OIML R 76:2006).</w:t>
      </w:r>
      <w:bookmarkEnd w:id="17"/>
      <w:bookmarkEnd w:id="18"/>
    </w:p>
    <w:p w:rsidR="009C10E6" w:rsidRPr="009C10E6" w:rsidRDefault="009C10E6" w:rsidP="009C10E6">
      <w:pPr>
        <w:pStyle w:val="Heading2"/>
        <w:numPr>
          <w:ilvl w:val="0"/>
          <w:numId w:val="12"/>
        </w:numPr>
        <w:rPr>
          <w:b w:val="0"/>
          <w:iCs/>
          <w:color w:val="000000"/>
          <w:sz w:val="20"/>
          <w:szCs w:val="22"/>
        </w:rPr>
      </w:pPr>
      <w:bookmarkStart w:id="19" w:name="_Toc430867025"/>
      <w:bookmarkStart w:id="20" w:name="_Toc431371640"/>
      <w:r w:rsidRPr="009C10E6">
        <w:rPr>
          <w:b w:val="0"/>
          <w:iCs/>
          <w:color w:val="000000"/>
          <w:sz w:val="20"/>
          <w:szCs w:val="22"/>
        </w:rPr>
        <w:t>Applications for review of an existing approval received on or after 1 August 2022 will be assessed against the new requirements (adoption of OIML R 76:2006).</w:t>
      </w:r>
      <w:bookmarkEnd w:id="19"/>
      <w:bookmarkEnd w:id="20"/>
    </w:p>
    <w:p w:rsidR="009C10E6" w:rsidRPr="009C10E6" w:rsidRDefault="009C10E6" w:rsidP="009C10E6">
      <w:pPr>
        <w:pStyle w:val="Heading2"/>
        <w:numPr>
          <w:ilvl w:val="0"/>
          <w:numId w:val="12"/>
        </w:numPr>
        <w:rPr>
          <w:b w:val="0"/>
          <w:iCs/>
          <w:color w:val="000000"/>
          <w:sz w:val="20"/>
          <w:szCs w:val="22"/>
        </w:rPr>
      </w:pPr>
      <w:bookmarkStart w:id="21" w:name="_Toc430867026"/>
      <w:bookmarkStart w:id="22" w:name="_Toc431371641"/>
      <w:r w:rsidRPr="009C10E6">
        <w:rPr>
          <w:b w:val="0"/>
          <w:iCs/>
          <w:color w:val="000000"/>
          <w:sz w:val="20"/>
          <w:szCs w:val="22"/>
        </w:rPr>
        <w:t>Approvals issued against the old requirements (based on OIML R 76:1992) will be given a review date of no later than 1 August 2025. This means that any reviews conducted between 1 August 2020 and 1 August 2022 against the old requirements, will have a review date of less than 5 years.</w:t>
      </w:r>
      <w:bookmarkEnd w:id="21"/>
      <w:bookmarkEnd w:id="22"/>
    </w:p>
    <w:p w:rsidR="009C10E6" w:rsidRDefault="009C10E6" w:rsidP="009C10E6">
      <w:pPr>
        <w:pStyle w:val="Heading2"/>
        <w:numPr>
          <w:ilvl w:val="0"/>
          <w:numId w:val="12"/>
        </w:numPr>
        <w:rPr>
          <w:b w:val="0"/>
          <w:iCs/>
          <w:color w:val="000000"/>
          <w:sz w:val="20"/>
          <w:szCs w:val="22"/>
        </w:rPr>
      </w:pPr>
      <w:bookmarkStart w:id="23" w:name="_Toc430867027"/>
      <w:bookmarkStart w:id="24" w:name="_Toc431371642"/>
      <w:r w:rsidRPr="009C10E6">
        <w:rPr>
          <w:b w:val="0"/>
          <w:iCs/>
          <w:color w:val="000000"/>
          <w:sz w:val="20"/>
          <w:szCs w:val="22"/>
        </w:rPr>
        <w:t>Ahead of any of these transition dates, applicants may elect to seek approval against either the old or new requirements.</w:t>
      </w:r>
      <w:bookmarkEnd w:id="23"/>
      <w:bookmarkEnd w:id="24"/>
    </w:p>
    <w:p w:rsidR="0034038D" w:rsidRDefault="0034038D" w:rsidP="009C10E6">
      <w:pPr>
        <w:pStyle w:val="Heading2"/>
        <w:rPr>
          <w:b w:val="0"/>
          <w:iCs/>
          <w:color w:val="000000"/>
          <w:sz w:val="20"/>
          <w:szCs w:val="22"/>
        </w:rPr>
        <w:sectPr w:rsidR="0034038D" w:rsidSect="0034038D">
          <w:type w:val="continuous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bookmarkEnd w:id="13"/>
    <w:p w:rsidR="009C10E6" w:rsidRDefault="009C10E6" w:rsidP="009C10E6">
      <w:pPr>
        <w:pStyle w:val="Heading2"/>
        <w:rPr>
          <w:b w:val="0"/>
          <w:iCs/>
          <w:color w:val="000000"/>
          <w:sz w:val="20"/>
          <w:szCs w:val="22"/>
        </w:rPr>
      </w:pPr>
    </w:p>
    <w:sectPr w:rsidR="009C10E6" w:rsidSect="0034038D">
      <w:type w:val="continuous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287" w:rsidRDefault="00525287" w:rsidP="00B526AB">
      <w:pPr>
        <w:spacing w:after="0" w:line="240" w:lineRule="auto"/>
      </w:pPr>
      <w:r>
        <w:separator/>
      </w:r>
    </w:p>
  </w:endnote>
  <w:endnote w:type="continuationSeparator" w:id="0">
    <w:p w:rsidR="00525287" w:rsidRDefault="00525287" w:rsidP="00B52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A8B" w:rsidRDefault="00516A8B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2336" behindDoc="1" locked="0" layoutInCell="1" allowOverlap="1" wp14:anchorId="786AA8A7" wp14:editId="2ED50462">
          <wp:simplePos x="0" y="0"/>
          <wp:positionH relativeFrom="column">
            <wp:posOffset>-974725</wp:posOffset>
          </wp:positionH>
          <wp:positionV relativeFrom="paragraph">
            <wp:posOffset>234950</wp:posOffset>
          </wp:positionV>
          <wp:extent cx="7633770" cy="363219"/>
          <wp:effectExtent l="0" t="0" r="0" b="0"/>
          <wp:wrapNone/>
          <wp:docPr id="1" name="Picture 1" descr="Decorative footer graphic element" title="Document Report Cov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partmental_Word_footer_MAS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3770" cy="3632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038D" w:rsidRPr="0034038D">
      <w:rPr>
        <w:noProof/>
        <w:lang w:eastAsia="en-AU"/>
      </w:rPr>
      <w:t xml:space="preserve"> </w:t>
    </w:r>
    <w:r w:rsidR="0034038D">
      <w:rPr>
        <w:noProof/>
        <w:lang w:eastAsia="en-AU"/>
      </w:rPr>
      <w:t>Response to Consultation Paper</w:t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D7AF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287" w:rsidRDefault="00525287" w:rsidP="00B526AB">
      <w:pPr>
        <w:spacing w:after="0" w:line="240" w:lineRule="auto"/>
      </w:pPr>
      <w:r>
        <w:separator/>
      </w:r>
    </w:p>
  </w:footnote>
  <w:footnote w:type="continuationSeparator" w:id="0">
    <w:p w:rsidR="00525287" w:rsidRDefault="00525287" w:rsidP="00B52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680" w:rsidRDefault="00CB2680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475715A1" wp14:editId="72E5AC42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8766" cy="10687688"/>
          <wp:effectExtent l="0" t="0" r="4445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partmental_Word_update_slide_frontpag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6" cy="1068768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0A4" w:rsidRDefault="006040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F36FD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E7CD5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B82E9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B2EF1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6CB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745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5899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F05DB2"/>
    <w:lvl w:ilvl="0">
      <w:start w:val="1"/>
      <w:numFmt w:val="bullet"/>
      <w:pStyle w:val="ListBullet2"/>
      <w:lvlText w:val=""/>
      <w:lvlJc w:val="left"/>
      <w:pPr>
        <w:ind w:left="644" w:hanging="360"/>
      </w:pPr>
      <w:rPr>
        <w:rFonts w:ascii="Symbol" w:hAnsi="Symbol" w:hint="default"/>
        <w:b/>
        <w:i w:val="0"/>
        <w:color w:val="A6192E" w:themeColor="accent1"/>
      </w:rPr>
    </w:lvl>
  </w:abstractNum>
  <w:abstractNum w:abstractNumId="8">
    <w:nsid w:val="FFFFFF88"/>
    <w:multiLevelType w:val="singleLevel"/>
    <w:tmpl w:val="9350D2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1A1AA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6192E" w:themeColor="accent1"/>
      </w:rPr>
    </w:lvl>
  </w:abstractNum>
  <w:abstractNum w:abstractNumId="10">
    <w:nsid w:val="05F958F7"/>
    <w:multiLevelType w:val="hybridMultilevel"/>
    <w:tmpl w:val="F168B850"/>
    <w:lvl w:ilvl="0" w:tplc="F20EA46A">
      <w:numFmt w:val="bullet"/>
      <w:lvlText w:val="-"/>
      <w:lvlJc w:val="left"/>
      <w:pPr>
        <w:ind w:left="1080" w:hanging="720"/>
      </w:pPr>
      <w:rPr>
        <w:rFonts w:ascii="Arial" w:eastAsiaTheme="maj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B451C2"/>
    <w:multiLevelType w:val="hybridMultilevel"/>
    <w:tmpl w:val="ADDAF4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B60"/>
    <w:rsid w:val="00000DB4"/>
    <w:rsid w:val="00052EDC"/>
    <w:rsid w:val="00071DE4"/>
    <w:rsid w:val="000E253B"/>
    <w:rsid w:val="00163B54"/>
    <w:rsid w:val="001A25AE"/>
    <w:rsid w:val="001A2801"/>
    <w:rsid w:val="001A2DC6"/>
    <w:rsid w:val="001C2787"/>
    <w:rsid w:val="001E15B8"/>
    <w:rsid w:val="0022001F"/>
    <w:rsid w:val="002300AC"/>
    <w:rsid w:val="00244596"/>
    <w:rsid w:val="00263E00"/>
    <w:rsid w:val="00297150"/>
    <w:rsid w:val="002B57BF"/>
    <w:rsid w:val="002C0788"/>
    <w:rsid w:val="002D3954"/>
    <w:rsid w:val="002E14EA"/>
    <w:rsid w:val="002E201E"/>
    <w:rsid w:val="002F65AF"/>
    <w:rsid w:val="00304F04"/>
    <w:rsid w:val="0034038D"/>
    <w:rsid w:val="0038442D"/>
    <w:rsid w:val="00402E42"/>
    <w:rsid w:val="00407ECA"/>
    <w:rsid w:val="004111E9"/>
    <w:rsid w:val="00436B60"/>
    <w:rsid w:val="00452BA6"/>
    <w:rsid w:val="004C2BF7"/>
    <w:rsid w:val="00516A8B"/>
    <w:rsid w:val="00525287"/>
    <w:rsid w:val="005642F2"/>
    <w:rsid w:val="00585806"/>
    <w:rsid w:val="005C135D"/>
    <w:rsid w:val="005D0228"/>
    <w:rsid w:val="005D7AF8"/>
    <w:rsid w:val="005F1934"/>
    <w:rsid w:val="00602C92"/>
    <w:rsid w:val="006040A4"/>
    <w:rsid w:val="00661C9E"/>
    <w:rsid w:val="006A269D"/>
    <w:rsid w:val="006B4858"/>
    <w:rsid w:val="006C2852"/>
    <w:rsid w:val="00723B30"/>
    <w:rsid w:val="007359BD"/>
    <w:rsid w:val="00754739"/>
    <w:rsid w:val="007F3774"/>
    <w:rsid w:val="00822068"/>
    <w:rsid w:val="00850038"/>
    <w:rsid w:val="0088639D"/>
    <w:rsid w:val="0093257C"/>
    <w:rsid w:val="00956813"/>
    <w:rsid w:val="00975726"/>
    <w:rsid w:val="00991FDD"/>
    <w:rsid w:val="009A0EF0"/>
    <w:rsid w:val="009C10E6"/>
    <w:rsid w:val="009D7BB6"/>
    <w:rsid w:val="00A25CD6"/>
    <w:rsid w:val="00A41C55"/>
    <w:rsid w:val="00A51E16"/>
    <w:rsid w:val="00A70243"/>
    <w:rsid w:val="00A85BA1"/>
    <w:rsid w:val="00B526AB"/>
    <w:rsid w:val="00CB2680"/>
    <w:rsid w:val="00CC7875"/>
    <w:rsid w:val="00D418D9"/>
    <w:rsid w:val="00D57C05"/>
    <w:rsid w:val="00D87BC8"/>
    <w:rsid w:val="00E02DFD"/>
    <w:rsid w:val="00E72774"/>
    <w:rsid w:val="00ED17D8"/>
    <w:rsid w:val="00EF6BC7"/>
    <w:rsid w:val="00F11C75"/>
    <w:rsid w:val="00F25F29"/>
    <w:rsid w:val="00F56937"/>
    <w:rsid w:val="00FC70DE"/>
    <w:rsid w:val="00FD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6AB"/>
    <w:pPr>
      <w:spacing w:after="120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57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7C122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5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6192E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20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6192E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206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A6192E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20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20C16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72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75726"/>
    <w:rPr>
      <w:rFonts w:asciiTheme="majorHAnsi" w:eastAsiaTheme="majorEastAsia" w:hAnsiTheme="majorHAnsi" w:cstheme="majorBidi"/>
      <w:b/>
      <w:bCs/>
      <w:color w:val="7C122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75726"/>
    <w:rPr>
      <w:rFonts w:asciiTheme="majorHAnsi" w:eastAsiaTheme="majorEastAsia" w:hAnsiTheme="majorHAnsi" w:cstheme="majorBidi"/>
      <w:b/>
      <w:bCs/>
      <w:color w:val="A6192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F6BC7"/>
    <w:pPr>
      <w:spacing w:before="8880" w:after="480" w:line="240" w:lineRule="auto"/>
      <w:contextualSpacing/>
    </w:pPr>
    <w:rPr>
      <w:rFonts w:asciiTheme="majorHAnsi" w:eastAsiaTheme="majorEastAsia" w:hAnsiTheme="majorHAnsi" w:cstheme="majorBidi"/>
      <w:b/>
      <w:color w:val="2C2C2D" w:themeColor="text2" w:themeShade="80"/>
      <w:spacing w:val="5"/>
      <w:kern w:val="28"/>
      <w:sz w:val="6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6BC7"/>
    <w:rPr>
      <w:rFonts w:asciiTheme="majorHAnsi" w:eastAsiaTheme="majorEastAsia" w:hAnsiTheme="majorHAnsi" w:cstheme="majorBidi"/>
      <w:b/>
      <w:color w:val="2C2C2D" w:themeColor="text2" w:themeShade="80"/>
      <w:spacing w:val="5"/>
      <w:kern w:val="28"/>
      <w:sz w:val="64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934"/>
    <w:pPr>
      <w:numPr>
        <w:ilvl w:val="1"/>
      </w:numPr>
    </w:pPr>
    <w:rPr>
      <w:rFonts w:asciiTheme="majorHAnsi" w:eastAsiaTheme="majorEastAsia" w:hAnsiTheme="majorHAnsi" w:cstheme="majorBidi"/>
      <w:iCs/>
      <w:color w:val="939598" w:themeColor="background2"/>
      <w:spacing w:val="15"/>
      <w:sz w:val="4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F1934"/>
    <w:rPr>
      <w:rFonts w:asciiTheme="majorHAnsi" w:eastAsiaTheme="majorEastAsia" w:hAnsiTheme="majorHAnsi" w:cstheme="majorBidi"/>
      <w:iCs/>
      <w:color w:val="939598" w:themeColor="background2"/>
      <w:spacing w:val="15"/>
      <w:sz w:val="40"/>
      <w:szCs w:val="24"/>
    </w:rPr>
  </w:style>
  <w:style w:type="character" w:styleId="Emphasis">
    <w:name w:val="Emphasis"/>
    <w:basedOn w:val="DefaultParagraphFont"/>
    <w:uiPriority w:val="20"/>
    <w:qFormat/>
    <w:rsid w:val="00975726"/>
    <w:rPr>
      <w:i/>
      <w:iCs/>
    </w:rPr>
  </w:style>
  <w:style w:type="character" w:styleId="Strong">
    <w:name w:val="Strong"/>
    <w:basedOn w:val="DefaultParagraphFont"/>
    <w:uiPriority w:val="22"/>
    <w:qFormat/>
    <w:rsid w:val="00975726"/>
    <w:rPr>
      <w:b/>
      <w:bCs/>
    </w:rPr>
  </w:style>
  <w:style w:type="character" w:styleId="Hyperlink">
    <w:name w:val="Hyperlink"/>
    <w:basedOn w:val="DefaultParagraphFont"/>
    <w:uiPriority w:val="99"/>
    <w:unhideWhenUsed/>
    <w:rsid w:val="00822068"/>
    <w:rPr>
      <w:color w:val="005677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22068"/>
    <w:rPr>
      <w:rFonts w:asciiTheme="majorHAnsi" w:eastAsiaTheme="majorEastAsia" w:hAnsiTheme="majorHAnsi" w:cstheme="majorBidi"/>
      <w:b/>
      <w:bCs/>
      <w:color w:val="A6192E" w:themeColor="accent1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822068"/>
    <w:rPr>
      <w:rFonts w:asciiTheme="majorHAnsi" w:eastAsiaTheme="majorEastAsia" w:hAnsiTheme="majorHAnsi" w:cstheme="majorBidi"/>
      <w:b/>
      <w:bCs/>
      <w:i/>
      <w:iCs/>
      <w:color w:val="A6192E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822068"/>
    <w:rPr>
      <w:rFonts w:asciiTheme="majorHAnsi" w:eastAsiaTheme="majorEastAsia" w:hAnsiTheme="majorHAnsi" w:cstheme="majorBidi"/>
      <w:color w:val="520C16" w:themeColor="accent1" w:themeShade="7F"/>
      <w:sz w:val="20"/>
    </w:rPr>
  </w:style>
  <w:style w:type="table" w:styleId="TableGrid">
    <w:name w:val="Table Grid"/>
    <w:basedOn w:val="TableNormal"/>
    <w:uiPriority w:val="59"/>
    <w:rsid w:val="00822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822068"/>
    <w:pPr>
      <w:spacing w:after="0" w:line="240" w:lineRule="auto"/>
    </w:pPr>
    <w:tblPr>
      <w:tblStyleRowBandSize w:val="1"/>
      <w:tblStyleColBandSize w:val="1"/>
      <w:tblBorders>
        <w:top w:val="single" w:sz="8" w:space="0" w:color="A6192E" w:themeColor="accent1"/>
        <w:left w:val="single" w:sz="8" w:space="0" w:color="A6192E" w:themeColor="accent1"/>
        <w:bottom w:val="single" w:sz="8" w:space="0" w:color="A6192E" w:themeColor="accent1"/>
        <w:right w:val="single" w:sz="8" w:space="0" w:color="A6192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192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192E" w:themeColor="accent1"/>
          <w:left w:val="single" w:sz="8" w:space="0" w:color="A6192E" w:themeColor="accent1"/>
          <w:bottom w:val="single" w:sz="8" w:space="0" w:color="A6192E" w:themeColor="accent1"/>
          <w:right w:val="single" w:sz="8" w:space="0" w:color="A6192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192E" w:themeColor="accent1"/>
          <w:left w:val="single" w:sz="8" w:space="0" w:color="A6192E" w:themeColor="accent1"/>
          <w:bottom w:val="single" w:sz="8" w:space="0" w:color="A6192E" w:themeColor="accent1"/>
          <w:right w:val="single" w:sz="8" w:space="0" w:color="A6192E" w:themeColor="accent1"/>
        </w:tcBorders>
      </w:tcPr>
    </w:tblStylePr>
    <w:tblStylePr w:type="band1Horz">
      <w:tblPr/>
      <w:tcPr>
        <w:tcBorders>
          <w:top w:val="single" w:sz="8" w:space="0" w:color="A6192E" w:themeColor="accent1"/>
          <w:left w:val="single" w:sz="8" w:space="0" w:color="A6192E" w:themeColor="accent1"/>
          <w:bottom w:val="single" w:sz="8" w:space="0" w:color="A6192E" w:themeColor="accent1"/>
          <w:right w:val="single" w:sz="8" w:space="0" w:color="A6192E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2068"/>
    <w:pPr>
      <w:spacing w:after="0" w:line="240" w:lineRule="auto"/>
    </w:pPr>
    <w:tblPr>
      <w:tblStyleRowBandSize w:val="1"/>
      <w:tblStyleColBandSize w:val="1"/>
      <w:tblBorders>
        <w:top w:val="single" w:sz="8" w:space="0" w:color="572D2D" w:themeColor="accent2"/>
        <w:left w:val="single" w:sz="8" w:space="0" w:color="572D2D" w:themeColor="accent2"/>
        <w:bottom w:val="single" w:sz="8" w:space="0" w:color="572D2D" w:themeColor="accent2"/>
        <w:right w:val="single" w:sz="8" w:space="0" w:color="572D2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2D2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2D2D" w:themeColor="accent2"/>
          <w:left w:val="single" w:sz="8" w:space="0" w:color="572D2D" w:themeColor="accent2"/>
          <w:bottom w:val="single" w:sz="8" w:space="0" w:color="572D2D" w:themeColor="accent2"/>
          <w:right w:val="single" w:sz="8" w:space="0" w:color="572D2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2D2D" w:themeColor="accent2"/>
          <w:left w:val="single" w:sz="8" w:space="0" w:color="572D2D" w:themeColor="accent2"/>
          <w:bottom w:val="single" w:sz="8" w:space="0" w:color="572D2D" w:themeColor="accent2"/>
          <w:right w:val="single" w:sz="8" w:space="0" w:color="572D2D" w:themeColor="accent2"/>
        </w:tcBorders>
      </w:tcPr>
    </w:tblStylePr>
    <w:tblStylePr w:type="band1Horz">
      <w:tblPr/>
      <w:tcPr>
        <w:tcBorders>
          <w:top w:val="single" w:sz="8" w:space="0" w:color="572D2D" w:themeColor="accent2"/>
          <w:left w:val="single" w:sz="8" w:space="0" w:color="572D2D" w:themeColor="accent2"/>
          <w:bottom w:val="single" w:sz="8" w:space="0" w:color="572D2D" w:themeColor="accent2"/>
          <w:right w:val="single" w:sz="8" w:space="0" w:color="572D2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2068"/>
    <w:pPr>
      <w:spacing w:after="0" w:line="240" w:lineRule="auto"/>
    </w:pPr>
    <w:tblPr>
      <w:tblStyleRowBandSize w:val="1"/>
      <w:tblStyleColBandSize w:val="1"/>
      <w:tblBorders>
        <w:top w:val="single" w:sz="8" w:space="0" w:color="71CC98" w:themeColor="accent3"/>
        <w:left w:val="single" w:sz="8" w:space="0" w:color="71CC98" w:themeColor="accent3"/>
        <w:bottom w:val="single" w:sz="8" w:space="0" w:color="71CC98" w:themeColor="accent3"/>
        <w:right w:val="single" w:sz="8" w:space="0" w:color="71CC9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1CC9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C98" w:themeColor="accent3"/>
          <w:left w:val="single" w:sz="8" w:space="0" w:color="71CC98" w:themeColor="accent3"/>
          <w:bottom w:val="single" w:sz="8" w:space="0" w:color="71CC98" w:themeColor="accent3"/>
          <w:right w:val="single" w:sz="8" w:space="0" w:color="71CC9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1CC98" w:themeColor="accent3"/>
          <w:left w:val="single" w:sz="8" w:space="0" w:color="71CC98" w:themeColor="accent3"/>
          <w:bottom w:val="single" w:sz="8" w:space="0" w:color="71CC98" w:themeColor="accent3"/>
          <w:right w:val="single" w:sz="8" w:space="0" w:color="71CC98" w:themeColor="accent3"/>
        </w:tcBorders>
      </w:tcPr>
    </w:tblStylePr>
    <w:tblStylePr w:type="band1Horz">
      <w:tblPr/>
      <w:tcPr>
        <w:tcBorders>
          <w:top w:val="single" w:sz="8" w:space="0" w:color="71CC98" w:themeColor="accent3"/>
          <w:left w:val="single" w:sz="8" w:space="0" w:color="71CC98" w:themeColor="accent3"/>
          <w:bottom w:val="single" w:sz="8" w:space="0" w:color="71CC98" w:themeColor="accent3"/>
          <w:right w:val="single" w:sz="8" w:space="0" w:color="71CC98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2068"/>
    <w:pPr>
      <w:spacing w:after="0" w:line="240" w:lineRule="auto"/>
    </w:pPr>
    <w:tblPr>
      <w:tblStyleRowBandSize w:val="1"/>
      <w:tblStyleColBandSize w:val="1"/>
      <w:tblBorders>
        <w:top w:val="single" w:sz="8" w:space="0" w:color="B7B09C" w:themeColor="accent4"/>
        <w:left w:val="single" w:sz="8" w:space="0" w:color="B7B09C" w:themeColor="accent4"/>
        <w:bottom w:val="single" w:sz="8" w:space="0" w:color="B7B09C" w:themeColor="accent4"/>
        <w:right w:val="single" w:sz="8" w:space="0" w:color="B7B09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7B09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7B09C" w:themeColor="accent4"/>
          <w:left w:val="single" w:sz="8" w:space="0" w:color="B7B09C" w:themeColor="accent4"/>
          <w:bottom w:val="single" w:sz="8" w:space="0" w:color="B7B09C" w:themeColor="accent4"/>
          <w:right w:val="single" w:sz="8" w:space="0" w:color="B7B09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7B09C" w:themeColor="accent4"/>
          <w:left w:val="single" w:sz="8" w:space="0" w:color="B7B09C" w:themeColor="accent4"/>
          <w:bottom w:val="single" w:sz="8" w:space="0" w:color="B7B09C" w:themeColor="accent4"/>
          <w:right w:val="single" w:sz="8" w:space="0" w:color="B7B09C" w:themeColor="accent4"/>
        </w:tcBorders>
      </w:tcPr>
    </w:tblStylePr>
    <w:tblStylePr w:type="band1Horz">
      <w:tblPr/>
      <w:tcPr>
        <w:tcBorders>
          <w:top w:val="single" w:sz="8" w:space="0" w:color="B7B09C" w:themeColor="accent4"/>
          <w:left w:val="single" w:sz="8" w:space="0" w:color="B7B09C" w:themeColor="accent4"/>
          <w:bottom w:val="single" w:sz="8" w:space="0" w:color="B7B09C" w:themeColor="accent4"/>
          <w:right w:val="single" w:sz="8" w:space="0" w:color="B7B09C" w:themeColor="accent4"/>
        </w:tcBorders>
      </w:tcPr>
    </w:tblStylePr>
  </w:style>
  <w:style w:type="table" w:customStyle="1" w:styleId="Style1">
    <w:name w:val="Style1"/>
    <w:basedOn w:val="TableNormal"/>
    <w:uiPriority w:val="99"/>
    <w:rsid w:val="002E14EA"/>
    <w:pPr>
      <w:spacing w:after="0" w:line="240" w:lineRule="auto"/>
    </w:pPr>
    <w:rPr>
      <w:rFonts w:ascii="Arial" w:hAnsi="Arial"/>
      <w:color w:val="000000" w:themeColor="text1"/>
      <w:sz w:val="20"/>
    </w:rPr>
    <w:tblPr>
      <w:tblBorders>
        <w:bottom w:val="single" w:sz="2" w:space="0" w:color="A6192E" w:themeColor="accent1"/>
        <w:insideH w:val="single" w:sz="2" w:space="0" w:color="A6192E" w:themeColor="accent1"/>
      </w:tblBorders>
      <w:tblCellMar>
        <w:top w:w="85" w:type="dxa"/>
        <w:bottom w:w="85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A6192E" w:themeFill="accent1"/>
      </w:tcPr>
    </w:tblStylePr>
    <w:tblStylePr w:type="lastRow">
      <w:pPr>
        <w:jc w:val="left"/>
      </w:pPr>
      <w:rPr>
        <w:rFonts w:ascii="Arial" w:hAnsi="Arial"/>
        <w:b/>
      </w:rPr>
    </w:tblStylePr>
    <w:tblStylePr w:type="firstCol">
      <w:rPr>
        <w:b/>
      </w:r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CB2680"/>
    <w:pPr>
      <w:spacing w:before="0" w:after="240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63B54"/>
    <w:pPr>
      <w:spacing w:after="100"/>
    </w:pPr>
    <w:rPr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63B54"/>
    <w:pPr>
      <w:spacing w:after="100"/>
      <w:ind w:left="200"/>
    </w:pPr>
    <w:rPr>
      <w:color w:val="58595B" w:themeColor="text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E14EA"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4EA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9D7BB6"/>
    <w:pPr>
      <w:numPr>
        <w:numId w:val="1"/>
      </w:numPr>
      <w:ind w:left="284" w:hanging="284"/>
      <w:contextualSpacing/>
    </w:pPr>
  </w:style>
  <w:style w:type="paragraph" w:styleId="ListBullet2">
    <w:name w:val="List Bullet 2"/>
    <w:basedOn w:val="Normal"/>
    <w:uiPriority w:val="99"/>
    <w:unhideWhenUsed/>
    <w:rsid w:val="002F65AF"/>
    <w:pPr>
      <w:numPr>
        <w:numId w:val="2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D7BB6"/>
    <w:pPr>
      <w:pBdr>
        <w:top w:val="single" w:sz="4" w:space="1" w:color="71CC98" w:themeColor="accent3"/>
        <w:bottom w:val="single" w:sz="4" w:space="1" w:color="71CC98" w:themeColor="accent3"/>
      </w:pBdr>
      <w:spacing w:before="240" w:after="240"/>
    </w:pPr>
    <w:rPr>
      <w:i/>
      <w:iCs/>
      <w:color w:val="A6192E" w:themeColor="accent1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9D7BB6"/>
    <w:rPr>
      <w:i/>
      <w:iCs/>
      <w:color w:val="A6192E" w:themeColor="accent1"/>
      <w:sz w:val="24"/>
    </w:rPr>
  </w:style>
  <w:style w:type="character" w:styleId="SubtleEmphasis">
    <w:name w:val="Subtle Emphasis"/>
    <w:basedOn w:val="DefaultParagraphFont"/>
    <w:uiPriority w:val="19"/>
    <w:rsid w:val="005D0228"/>
    <w:rPr>
      <w:i/>
      <w:iCs/>
      <w:color w:val="808080" w:themeColor="text1" w:themeTint="7F"/>
      <w:sz w:val="28"/>
    </w:rPr>
  </w:style>
  <w:style w:type="character" w:styleId="IntenseEmphasis">
    <w:name w:val="Intense Emphasis"/>
    <w:basedOn w:val="DefaultParagraphFont"/>
    <w:uiPriority w:val="21"/>
    <w:qFormat/>
    <w:rsid w:val="005D0228"/>
    <w:rPr>
      <w:b/>
      <w:bCs/>
      <w:i/>
      <w:iCs/>
      <w:color w:val="A6192E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B526AB"/>
    <w:pPr>
      <w:spacing w:after="360" w:line="240" w:lineRule="auto"/>
    </w:pPr>
    <w:rPr>
      <w:bCs/>
      <w:color w:val="A6192E" w:themeColor="accent1"/>
      <w:sz w:val="18"/>
      <w:szCs w:val="18"/>
    </w:rPr>
  </w:style>
  <w:style w:type="character" w:customStyle="1" w:styleId="Tabletitle">
    <w:name w:val="Table title"/>
    <w:basedOn w:val="DefaultParagraphFont"/>
    <w:uiPriority w:val="1"/>
    <w:qFormat/>
    <w:rsid w:val="00D87BC8"/>
    <w:rPr>
      <w:b/>
      <w:color w:val="A6192E" w:themeColor="accent1"/>
    </w:rPr>
  </w:style>
  <w:style w:type="character" w:customStyle="1" w:styleId="Figuretitle">
    <w:name w:val="Figure title"/>
    <w:basedOn w:val="Tabletitle"/>
    <w:uiPriority w:val="1"/>
    <w:qFormat/>
    <w:rsid w:val="00D87BC8"/>
    <w:rPr>
      <w:b/>
      <w:color w:val="A6192E" w:themeColor="accent1"/>
    </w:rPr>
  </w:style>
  <w:style w:type="paragraph" w:customStyle="1" w:styleId="Credit">
    <w:name w:val="Credit"/>
    <w:basedOn w:val="Caption"/>
    <w:qFormat/>
    <w:rsid w:val="00A51E16"/>
    <w:rPr>
      <w:color w:val="58595B" w:themeColor="text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26AB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6A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526A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B526AB"/>
    <w:pPr>
      <w:spacing w:after="6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26AB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26AB"/>
    <w:rPr>
      <w:vertAlign w:val="superscript"/>
    </w:rPr>
  </w:style>
  <w:style w:type="paragraph" w:customStyle="1" w:styleId="Casestudy">
    <w:name w:val="Case study"/>
    <w:basedOn w:val="Normal"/>
    <w:qFormat/>
    <w:rsid w:val="00244596"/>
    <w:pPr>
      <w:pBdr>
        <w:top w:val="single" w:sz="4" w:space="4" w:color="572D2D" w:themeColor="accent2"/>
        <w:left w:val="single" w:sz="4" w:space="4" w:color="572D2D" w:themeColor="accent2"/>
        <w:bottom w:val="single" w:sz="4" w:space="4" w:color="572D2D" w:themeColor="accent2"/>
        <w:right w:val="single" w:sz="4" w:space="4" w:color="572D2D" w:themeColor="accent2"/>
      </w:pBdr>
      <w:shd w:val="clear" w:color="auto" w:fill="F1E5E5" w:themeFill="accent2" w:themeFillTint="1A"/>
      <w:ind w:left="113" w:right="113"/>
    </w:pPr>
  </w:style>
  <w:style w:type="paragraph" w:customStyle="1" w:styleId="Casestudytitle">
    <w:name w:val="Case study title"/>
    <w:basedOn w:val="Casestudy"/>
    <w:qFormat/>
    <w:rsid w:val="002D3954"/>
    <w:pPr>
      <w:spacing w:before="360"/>
    </w:pPr>
    <w:rPr>
      <w:color w:val="572D2D" w:themeColor="accent2"/>
      <w:sz w:val="28"/>
    </w:rPr>
  </w:style>
  <w:style w:type="paragraph" w:customStyle="1" w:styleId="Casestudysource">
    <w:name w:val="Case study source"/>
    <w:basedOn w:val="Casestudy"/>
    <w:qFormat/>
    <w:rsid w:val="00F25F29"/>
    <w:pPr>
      <w:spacing w:before="240" w:after="480"/>
    </w:pPr>
    <w:rPr>
      <w:color w:val="572D2D" w:themeColor="accent2"/>
      <w:sz w:val="16"/>
    </w:rPr>
  </w:style>
  <w:style w:type="paragraph" w:styleId="Header">
    <w:name w:val="header"/>
    <w:basedOn w:val="Normal"/>
    <w:link w:val="HeaderChar"/>
    <w:uiPriority w:val="99"/>
    <w:unhideWhenUsed/>
    <w:rsid w:val="00991F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FD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991F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FDD"/>
    <w:rPr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E15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B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B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6AB"/>
    <w:pPr>
      <w:spacing w:after="120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57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7C122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5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6192E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20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6192E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206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A6192E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20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20C16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72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75726"/>
    <w:rPr>
      <w:rFonts w:asciiTheme="majorHAnsi" w:eastAsiaTheme="majorEastAsia" w:hAnsiTheme="majorHAnsi" w:cstheme="majorBidi"/>
      <w:b/>
      <w:bCs/>
      <w:color w:val="7C122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75726"/>
    <w:rPr>
      <w:rFonts w:asciiTheme="majorHAnsi" w:eastAsiaTheme="majorEastAsia" w:hAnsiTheme="majorHAnsi" w:cstheme="majorBidi"/>
      <w:b/>
      <w:bCs/>
      <w:color w:val="A6192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F6BC7"/>
    <w:pPr>
      <w:spacing w:before="8880" w:after="480" w:line="240" w:lineRule="auto"/>
      <w:contextualSpacing/>
    </w:pPr>
    <w:rPr>
      <w:rFonts w:asciiTheme="majorHAnsi" w:eastAsiaTheme="majorEastAsia" w:hAnsiTheme="majorHAnsi" w:cstheme="majorBidi"/>
      <w:b/>
      <w:color w:val="2C2C2D" w:themeColor="text2" w:themeShade="80"/>
      <w:spacing w:val="5"/>
      <w:kern w:val="28"/>
      <w:sz w:val="6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6BC7"/>
    <w:rPr>
      <w:rFonts w:asciiTheme="majorHAnsi" w:eastAsiaTheme="majorEastAsia" w:hAnsiTheme="majorHAnsi" w:cstheme="majorBidi"/>
      <w:b/>
      <w:color w:val="2C2C2D" w:themeColor="text2" w:themeShade="80"/>
      <w:spacing w:val="5"/>
      <w:kern w:val="28"/>
      <w:sz w:val="64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934"/>
    <w:pPr>
      <w:numPr>
        <w:ilvl w:val="1"/>
      </w:numPr>
    </w:pPr>
    <w:rPr>
      <w:rFonts w:asciiTheme="majorHAnsi" w:eastAsiaTheme="majorEastAsia" w:hAnsiTheme="majorHAnsi" w:cstheme="majorBidi"/>
      <w:iCs/>
      <w:color w:val="939598" w:themeColor="background2"/>
      <w:spacing w:val="15"/>
      <w:sz w:val="4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F1934"/>
    <w:rPr>
      <w:rFonts w:asciiTheme="majorHAnsi" w:eastAsiaTheme="majorEastAsia" w:hAnsiTheme="majorHAnsi" w:cstheme="majorBidi"/>
      <w:iCs/>
      <w:color w:val="939598" w:themeColor="background2"/>
      <w:spacing w:val="15"/>
      <w:sz w:val="40"/>
      <w:szCs w:val="24"/>
    </w:rPr>
  </w:style>
  <w:style w:type="character" w:styleId="Emphasis">
    <w:name w:val="Emphasis"/>
    <w:basedOn w:val="DefaultParagraphFont"/>
    <w:uiPriority w:val="20"/>
    <w:qFormat/>
    <w:rsid w:val="00975726"/>
    <w:rPr>
      <w:i/>
      <w:iCs/>
    </w:rPr>
  </w:style>
  <w:style w:type="character" w:styleId="Strong">
    <w:name w:val="Strong"/>
    <w:basedOn w:val="DefaultParagraphFont"/>
    <w:uiPriority w:val="22"/>
    <w:qFormat/>
    <w:rsid w:val="00975726"/>
    <w:rPr>
      <w:b/>
      <w:bCs/>
    </w:rPr>
  </w:style>
  <w:style w:type="character" w:styleId="Hyperlink">
    <w:name w:val="Hyperlink"/>
    <w:basedOn w:val="DefaultParagraphFont"/>
    <w:uiPriority w:val="99"/>
    <w:unhideWhenUsed/>
    <w:rsid w:val="00822068"/>
    <w:rPr>
      <w:color w:val="005677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22068"/>
    <w:rPr>
      <w:rFonts w:asciiTheme="majorHAnsi" w:eastAsiaTheme="majorEastAsia" w:hAnsiTheme="majorHAnsi" w:cstheme="majorBidi"/>
      <w:b/>
      <w:bCs/>
      <w:color w:val="A6192E" w:themeColor="accent1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822068"/>
    <w:rPr>
      <w:rFonts w:asciiTheme="majorHAnsi" w:eastAsiaTheme="majorEastAsia" w:hAnsiTheme="majorHAnsi" w:cstheme="majorBidi"/>
      <w:b/>
      <w:bCs/>
      <w:i/>
      <w:iCs/>
      <w:color w:val="A6192E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822068"/>
    <w:rPr>
      <w:rFonts w:asciiTheme="majorHAnsi" w:eastAsiaTheme="majorEastAsia" w:hAnsiTheme="majorHAnsi" w:cstheme="majorBidi"/>
      <w:color w:val="520C16" w:themeColor="accent1" w:themeShade="7F"/>
      <w:sz w:val="20"/>
    </w:rPr>
  </w:style>
  <w:style w:type="table" w:styleId="TableGrid">
    <w:name w:val="Table Grid"/>
    <w:basedOn w:val="TableNormal"/>
    <w:uiPriority w:val="59"/>
    <w:rsid w:val="00822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822068"/>
    <w:pPr>
      <w:spacing w:after="0" w:line="240" w:lineRule="auto"/>
    </w:pPr>
    <w:tblPr>
      <w:tblStyleRowBandSize w:val="1"/>
      <w:tblStyleColBandSize w:val="1"/>
      <w:tblBorders>
        <w:top w:val="single" w:sz="8" w:space="0" w:color="A6192E" w:themeColor="accent1"/>
        <w:left w:val="single" w:sz="8" w:space="0" w:color="A6192E" w:themeColor="accent1"/>
        <w:bottom w:val="single" w:sz="8" w:space="0" w:color="A6192E" w:themeColor="accent1"/>
        <w:right w:val="single" w:sz="8" w:space="0" w:color="A6192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192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192E" w:themeColor="accent1"/>
          <w:left w:val="single" w:sz="8" w:space="0" w:color="A6192E" w:themeColor="accent1"/>
          <w:bottom w:val="single" w:sz="8" w:space="0" w:color="A6192E" w:themeColor="accent1"/>
          <w:right w:val="single" w:sz="8" w:space="0" w:color="A6192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192E" w:themeColor="accent1"/>
          <w:left w:val="single" w:sz="8" w:space="0" w:color="A6192E" w:themeColor="accent1"/>
          <w:bottom w:val="single" w:sz="8" w:space="0" w:color="A6192E" w:themeColor="accent1"/>
          <w:right w:val="single" w:sz="8" w:space="0" w:color="A6192E" w:themeColor="accent1"/>
        </w:tcBorders>
      </w:tcPr>
    </w:tblStylePr>
    <w:tblStylePr w:type="band1Horz">
      <w:tblPr/>
      <w:tcPr>
        <w:tcBorders>
          <w:top w:val="single" w:sz="8" w:space="0" w:color="A6192E" w:themeColor="accent1"/>
          <w:left w:val="single" w:sz="8" w:space="0" w:color="A6192E" w:themeColor="accent1"/>
          <w:bottom w:val="single" w:sz="8" w:space="0" w:color="A6192E" w:themeColor="accent1"/>
          <w:right w:val="single" w:sz="8" w:space="0" w:color="A6192E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2068"/>
    <w:pPr>
      <w:spacing w:after="0" w:line="240" w:lineRule="auto"/>
    </w:pPr>
    <w:tblPr>
      <w:tblStyleRowBandSize w:val="1"/>
      <w:tblStyleColBandSize w:val="1"/>
      <w:tblBorders>
        <w:top w:val="single" w:sz="8" w:space="0" w:color="572D2D" w:themeColor="accent2"/>
        <w:left w:val="single" w:sz="8" w:space="0" w:color="572D2D" w:themeColor="accent2"/>
        <w:bottom w:val="single" w:sz="8" w:space="0" w:color="572D2D" w:themeColor="accent2"/>
        <w:right w:val="single" w:sz="8" w:space="0" w:color="572D2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2D2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2D2D" w:themeColor="accent2"/>
          <w:left w:val="single" w:sz="8" w:space="0" w:color="572D2D" w:themeColor="accent2"/>
          <w:bottom w:val="single" w:sz="8" w:space="0" w:color="572D2D" w:themeColor="accent2"/>
          <w:right w:val="single" w:sz="8" w:space="0" w:color="572D2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2D2D" w:themeColor="accent2"/>
          <w:left w:val="single" w:sz="8" w:space="0" w:color="572D2D" w:themeColor="accent2"/>
          <w:bottom w:val="single" w:sz="8" w:space="0" w:color="572D2D" w:themeColor="accent2"/>
          <w:right w:val="single" w:sz="8" w:space="0" w:color="572D2D" w:themeColor="accent2"/>
        </w:tcBorders>
      </w:tcPr>
    </w:tblStylePr>
    <w:tblStylePr w:type="band1Horz">
      <w:tblPr/>
      <w:tcPr>
        <w:tcBorders>
          <w:top w:val="single" w:sz="8" w:space="0" w:color="572D2D" w:themeColor="accent2"/>
          <w:left w:val="single" w:sz="8" w:space="0" w:color="572D2D" w:themeColor="accent2"/>
          <w:bottom w:val="single" w:sz="8" w:space="0" w:color="572D2D" w:themeColor="accent2"/>
          <w:right w:val="single" w:sz="8" w:space="0" w:color="572D2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2068"/>
    <w:pPr>
      <w:spacing w:after="0" w:line="240" w:lineRule="auto"/>
    </w:pPr>
    <w:tblPr>
      <w:tblStyleRowBandSize w:val="1"/>
      <w:tblStyleColBandSize w:val="1"/>
      <w:tblBorders>
        <w:top w:val="single" w:sz="8" w:space="0" w:color="71CC98" w:themeColor="accent3"/>
        <w:left w:val="single" w:sz="8" w:space="0" w:color="71CC98" w:themeColor="accent3"/>
        <w:bottom w:val="single" w:sz="8" w:space="0" w:color="71CC98" w:themeColor="accent3"/>
        <w:right w:val="single" w:sz="8" w:space="0" w:color="71CC9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1CC9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C98" w:themeColor="accent3"/>
          <w:left w:val="single" w:sz="8" w:space="0" w:color="71CC98" w:themeColor="accent3"/>
          <w:bottom w:val="single" w:sz="8" w:space="0" w:color="71CC98" w:themeColor="accent3"/>
          <w:right w:val="single" w:sz="8" w:space="0" w:color="71CC9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1CC98" w:themeColor="accent3"/>
          <w:left w:val="single" w:sz="8" w:space="0" w:color="71CC98" w:themeColor="accent3"/>
          <w:bottom w:val="single" w:sz="8" w:space="0" w:color="71CC98" w:themeColor="accent3"/>
          <w:right w:val="single" w:sz="8" w:space="0" w:color="71CC98" w:themeColor="accent3"/>
        </w:tcBorders>
      </w:tcPr>
    </w:tblStylePr>
    <w:tblStylePr w:type="band1Horz">
      <w:tblPr/>
      <w:tcPr>
        <w:tcBorders>
          <w:top w:val="single" w:sz="8" w:space="0" w:color="71CC98" w:themeColor="accent3"/>
          <w:left w:val="single" w:sz="8" w:space="0" w:color="71CC98" w:themeColor="accent3"/>
          <w:bottom w:val="single" w:sz="8" w:space="0" w:color="71CC98" w:themeColor="accent3"/>
          <w:right w:val="single" w:sz="8" w:space="0" w:color="71CC98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2068"/>
    <w:pPr>
      <w:spacing w:after="0" w:line="240" w:lineRule="auto"/>
    </w:pPr>
    <w:tblPr>
      <w:tblStyleRowBandSize w:val="1"/>
      <w:tblStyleColBandSize w:val="1"/>
      <w:tblBorders>
        <w:top w:val="single" w:sz="8" w:space="0" w:color="B7B09C" w:themeColor="accent4"/>
        <w:left w:val="single" w:sz="8" w:space="0" w:color="B7B09C" w:themeColor="accent4"/>
        <w:bottom w:val="single" w:sz="8" w:space="0" w:color="B7B09C" w:themeColor="accent4"/>
        <w:right w:val="single" w:sz="8" w:space="0" w:color="B7B09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7B09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7B09C" w:themeColor="accent4"/>
          <w:left w:val="single" w:sz="8" w:space="0" w:color="B7B09C" w:themeColor="accent4"/>
          <w:bottom w:val="single" w:sz="8" w:space="0" w:color="B7B09C" w:themeColor="accent4"/>
          <w:right w:val="single" w:sz="8" w:space="0" w:color="B7B09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7B09C" w:themeColor="accent4"/>
          <w:left w:val="single" w:sz="8" w:space="0" w:color="B7B09C" w:themeColor="accent4"/>
          <w:bottom w:val="single" w:sz="8" w:space="0" w:color="B7B09C" w:themeColor="accent4"/>
          <w:right w:val="single" w:sz="8" w:space="0" w:color="B7B09C" w:themeColor="accent4"/>
        </w:tcBorders>
      </w:tcPr>
    </w:tblStylePr>
    <w:tblStylePr w:type="band1Horz">
      <w:tblPr/>
      <w:tcPr>
        <w:tcBorders>
          <w:top w:val="single" w:sz="8" w:space="0" w:color="B7B09C" w:themeColor="accent4"/>
          <w:left w:val="single" w:sz="8" w:space="0" w:color="B7B09C" w:themeColor="accent4"/>
          <w:bottom w:val="single" w:sz="8" w:space="0" w:color="B7B09C" w:themeColor="accent4"/>
          <w:right w:val="single" w:sz="8" w:space="0" w:color="B7B09C" w:themeColor="accent4"/>
        </w:tcBorders>
      </w:tcPr>
    </w:tblStylePr>
  </w:style>
  <w:style w:type="table" w:customStyle="1" w:styleId="Style1">
    <w:name w:val="Style1"/>
    <w:basedOn w:val="TableNormal"/>
    <w:uiPriority w:val="99"/>
    <w:rsid w:val="002E14EA"/>
    <w:pPr>
      <w:spacing w:after="0" w:line="240" w:lineRule="auto"/>
    </w:pPr>
    <w:rPr>
      <w:rFonts w:ascii="Arial" w:hAnsi="Arial"/>
      <w:color w:val="000000" w:themeColor="text1"/>
      <w:sz w:val="20"/>
    </w:rPr>
    <w:tblPr>
      <w:tblBorders>
        <w:bottom w:val="single" w:sz="2" w:space="0" w:color="A6192E" w:themeColor="accent1"/>
        <w:insideH w:val="single" w:sz="2" w:space="0" w:color="A6192E" w:themeColor="accent1"/>
      </w:tblBorders>
      <w:tblCellMar>
        <w:top w:w="85" w:type="dxa"/>
        <w:bottom w:w="85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A6192E" w:themeFill="accent1"/>
      </w:tcPr>
    </w:tblStylePr>
    <w:tblStylePr w:type="lastRow">
      <w:pPr>
        <w:jc w:val="left"/>
      </w:pPr>
      <w:rPr>
        <w:rFonts w:ascii="Arial" w:hAnsi="Arial"/>
        <w:b/>
      </w:rPr>
    </w:tblStylePr>
    <w:tblStylePr w:type="firstCol">
      <w:rPr>
        <w:b/>
      </w:r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CB2680"/>
    <w:pPr>
      <w:spacing w:before="0" w:after="240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63B54"/>
    <w:pPr>
      <w:spacing w:after="100"/>
    </w:pPr>
    <w:rPr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63B54"/>
    <w:pPr>
      <w:spacing w:after="100"/>
      <w:ind w:left="200"/>
    </w:pPr>
    <w:rPr>
      <w:color w:val="58595B" w:themeColor="text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E14EA"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4EA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9D7BB6"/>
    <w:pPr>
      <w:numPr>
        <w:numId w:val="1"/>
      </w:numPr>
      <w:ind w:left="284" w:hanging="284"/>
      <w:contextualSpacing/>
    </w:pPr>
  </w:style>
  <w:style w:type="paragraph" w:styleId="ListBullet2">
    <w:name w:val="List Bullet 2"/>
    <w:basedOn w:val="Normal"/>
    <w:uiPriority w:val="99"/>
    <w:unhideWhenUsed/>
    <w:rsid w:val="002F65AF"/>
    <w:pPr>
      <w:numPr>
        <w:numId w:val="2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D7BB6"/>
    <w:pPr>
      <w:pBdr>
        <w:top w:val="single" w:sz="4" w:space="1" w:color="71CC98" w:themeColor="accent3"/>
        <w:bottom w:val="single" w:sz="4" w:space="1" w:color="71CC98" w:themeColor="accent3"/>
      </w:pBdr>
      <w:spacing w:before="240" w:after="240"/>
    </w:pPr>
    <w:rPr>
      <w:i/>
      <w:iCs/>
      <w:color w:val="A6192E" w:themeColor="accent1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9D7BB6"/>
    <w:rPr>
      <w:i/>
      <w:iCs/>
      <w:color w:val="A6192E" w:themeColor="accent1"/>
      <w:sz w:val="24"/>
    </w:rPr>
  </w:style>
  <w:style w:type="character" w:styleId="SubtleEmphasis">
    <w:name w:val="Subtle Emphasis"/>
    <w:basedOn w:val="DefaultParagraphFont"/>
    <w:uiPriority w:val="19"/>
    <w:rsid w:val="005D0228"/>
    <w:rPr>
      <w:i/>
      <w:iCs/>
      <w:color w:val="808080" w:themeColor="text1" w:themeTint="7F"/>
      <w:sz w:val="28"/>
    </w:rPr>
  </w:style>
  <w:style w:type="character" w:styleId="IntenseEmphasis">
    <w:name w:val="Intense Emphasis"/>
    <w:basedOn w:val="DefaultParagraphFont"/>
    <w:uiPriority w:val="21"/>
    <w:qFormat/>
    <w:rsid w:val="005D0228"/>
    <w:rPr>
      <w:b/>
      <w:bCs/>
      <w:i/>
      <w:iCs/>
      <w:color w:val="A6192E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B526AB"/>
    <w:pPr>
      <w:spacing w:after="360" w:line="240" w:lineRule="auto"/>
    </w:pPr>
    <w:rPr>
      <w:bCs/>
      <w:color w:val="A6192E" w:themeColor="accent1"/>
      <w:sz w:val="18"/>
      <w:szCs w:val="18"/>
    </w:rPr>
  </w:style>
  <w:style w:type="character" w:customStyle="1" w:styleId="Tabletitle">
    <w:name w:val="Table title"/>
    <w:basedOn w:val="DefaultParagraphFont"/>
    <w:uiPriority w:val="1"/>
    <w:qFormat/>
    <w:rsid w:val="00D87BC8"/>
    <w:rPr>
      <w:b/>
      <w:color w:val="A6192E" w:themeColor="accent1"/>
    </w:rPr>
  </w:style>
  <w:style w:type="character" w:customStyle="1" w:styleId="Figuretitle">
    <w:name w:val="Figure title"/>
    <w:basedOn w:val="Tabletitle"/>
    <w:uiPriority w:val="1"/>
    <w:qFormat/>
    <w:rsid w:val="00D87BC8"/>
    <w:rPr>
      <w:b/>
      <w:color w:val="A6192E" w:themeColor="accent1"/>
    </w:rPr>
  </w:style>
  <w:style w:type="paragraph" w:customStyle="1" w:styleId="Credit">
    <w:name w:val="Credit"/>
    <w:basedOn w:val="Caption"/>
    <w:qFormat/>
    <w:rsid w:val="00A51E16"/>
    <w:rPr>
      <w:color w:val="58595B" w:themeColor="text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26AB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6A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526A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B526AB"/>
    <w:pPr>
      <w:spacing w:after="6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26AB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26AB"/>
    <w:rPr>
      <w:vertAlign w:val="superscript"/>
    </w:rPr>
  </w:style>
  <w:style w:type="paragraph" w:customStyle="1" w:styleId="Casestudy">
    <w:name w:val="Case study"/>
    <w:basedOn w:val="Normal"/>
    <w:qFormat/>
    <w:rsid w:val="00244596"/>
    <w:pPr>
      <w:pBdr>
        <w:top w:val="single" w:sz="4" w:space="4" w:color="572D2D" w:themeColor="accent2"/>
        <w:left w:val="single" w:sz="4" w:space="4" w:color="572D2D" w:themeColor="accent2"/>
        <w:bottom w:val="single" w:sz="4" w:space="4" w:color="572D2D" w:themeColor="accent2"/>
        <w:right w:val="single" w:sz="4" w:space="4" w:color="572D2D" w:themeColor="accent2"/>
      </w:pBdr>
      <w:shd w:val="clear" w:color="auto" w:fill="F1E5E5" w:themeFill="accent2" w:themeFillTint="1A"/>
      <w:ind w:left="113" w:right="113"/>
    </w:pPr>
  </w:style>
  <w:style w:type="paragraph" w:customStyle="1" w:styleId="Casestudytitle">
    <w:name w:val="Case study title"/>
    <w:basedOn w:val="Casestudy"/>
    <w:qFormat/>
    <w:rsid w:val="002D3954"/>
    <w:pPr>
      <w:spacing w:before="360"/>
    </w:pPr>
    <w:rPr>
      <w:color w:val="572D2D" w:themeColor="accent2"/>
      <w:sz w:val="28"/>
    </w:rPr>
  </w:style>
  <w:style w:type="paragraph" w:customStyle="1" w:styleId="Casestudysource">
    <w:name w:val="Case study source"/>
    <w:basedOn w:val="Casestudy"/>
    <w:qFormat/>
    <w:rsid w:val="00F25F29"/>
    <w:pPr>
      <w:spacing w:before="240" w:after="480"/>
    </w:pPr>
    <w:rPr>
      <w:color w:val="572D2D" w:themeColor="accent2"/>
      <w:sz w:val="16"/>
    </w:rPr>
  </w:style>
  <w:style w:type="paragraph" w:styleId="Header">
    <w:name w:val="header"/>
    <w:basedOn w:val="Normal"/>
    <w:link w:val="HeaderChar"/>
    <w:uiPriority w:val="99"/>
    <w:unhideWhenUsed/>
    <w:rsid w:val="00991F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FD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991F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FDD"/>
    <w:rPr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E15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B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measurement.gov.au/measurementsystem/Pages/Consultation-on-New-Pattern-Approval-Requirements-for-Non-automatic-Weighing-Instruments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measurement.gov.au/TradeMeasurement/Pages/Consumer-and-Industry-Liaison-Committee.asp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Science">
      <a:dk1>
        <a:sysClr val="windowText" lastClr="000000"/>
      </a:dk1>
      <a:lt1>
        <a:sysClr val="window" lastClr="FFFFFF"/>
      </a:lt1>
      <a:dk2>
        <a:srgbClr val="58595B"/>
      </a:dk2>
      <a:lt2>
        <a:srgbClr val="939598"/>
      </a:lt2>
      <a:accent1>
        <a:srgbClr val="A6192E"/>
      </a:accent1>
      <a:accent2>
        <a:srgbClr val="572D2D"/>
      </a:accent2>
      <a:accent3>
        <a:srgbClr val="71CC98"/>
      </a:accent3>
      <a:accent4>
        <a:srgbClr val="B7B09C"/>
      </a:accent4>
      <a:accent5>
        <a:srgbClr val="58595B"/>
      </a:accent5>
      <a:accent6>
        <a:srgbClr val="6D6E70"/>
      </a:accent6>
      <a:hlink>
        <a:srgbClr val="005677"/>
      </a:hlink>
      <a:folHlink>
        <a:srgbClr val="C973AF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Reference xmlns="6d36718c-1a49-455c-83a9-7f550a5caa75">ZD#54440</FileReference>
    <FunctionLookupField xmlns="a9f017e7-a48c-48bc-b49a-1be409ebd71c"/>
    <KeywordsLookupField xmlns="a9f017e7-a48c-48bc-b49a-1be409ebd71c"/>
    <IncludeInNotificationsAndUpdates xmlns="6d36718c-1a49-455c-83a9-7f550a5caa75">true</IncludeInNotificationsAndUpdates>
    <SubjectLookupField xmlns="a9f017e7-a48c-48bc-b49a-1be409ebd71c"/>
    <PublishingExpirationDate xmlns="http://schemas.microsoft.com/sharepoint/v3" xsi:nil="true"/>
    <PublishingStartDate xmlns="http://schemas.microsoft.com/sharepoint/v3" xsi:nil="true"/>
    <PublishingContact xmlns="http://schemas.microsoft.com/sharepoint/v3">
      <UserInfo>
        <DisplayName>online</DisplayName>
        <AccountId>818</AccountId>
        <AccountType/>
      </UserInfo>
    </PublishingContact>
    <Comments xmlns="http://schemas.microsoft.com/sharepoint/v3" xsi:nil="true"/>
    <AudienceField xmlns="6d36718c-1a49-455c-83a9-7f550a5caa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MI Document" ma:contentTypeID="0x0101100025AF4C23721A4F4FB44C7E671DA01F230015423B73FEB043408327DC2093F10544" ma:contentTypeVersion="12" ma:contentTypeDescription="A document that is stored on the NMI site" ma:contentTypeScope="" ma:versionID="47d4636388a45bdd1df2874d91e12eca">
  <xsd:schema xmlns:xsd="http://www.w3.org/2001/XMLSchema" xmlns:xs="http://www.w3.org/2001/XMLSchema" xmlns:p="http://schemas.microsoft.com/office/2006/metadata/properties" xmlns:ns1="http://schemas.microsoft.com/sharepoint/v3" xmlns:ns2="a9f017e7-a48c-48bc-b49a-1be409ebd71c" xmlns:ns3="6d36718c-1a49-455c-83a9-7f550a5caa75" targetNamespace="http://schemas.microsoft.com/office/2006/metadata/properties" ma:root="true" ma:fieldsID="ea0623a96f7525fb1cbc6da663c177e2" ns1:_="" ns2:_="" ns3:_="">
    <xsd:import namespace="http://schemas.microsoft.com/sharepoint/v3"/>
    <xsd:import namespace="a9f017e7-a48c-48bc-b49a-1be409ebd71c"/>
    <xsd:import namespace="6d36718c-1a49-455c-83a9-7f550a5caa75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2:SubjectLookupField" minOccurs="0"/>
                <xsd:element ref="ns2:FunctionLookupField" minOccurs="0"/>
                <xsd:element ref="ns2:KeywordsLookupField" minOccurs="0"/>
                <xsd:element ref="ns3:AudienceField" minOccurs="0"/>
                <xsd:element ref="ns3:FileReference" minOccurs="0"/>
                <xsd:element ref="ns1:PublishingStartDate" minOccurs="0"/>
                <xsd:element ref="ns1:PublishingExpirationDate" minOccurs="0"/>
                <xsd:element ref="ns1:PublishingContact" minOccurs="0"/>
                <xsd:element ref="ns3:IncludeInNotificationsAndUpda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Description" ma:internalName="Comments">
      <xsd:simpleType>
        <xsd:restriction base="dms:Note">
          <xsd:maxLength value="255"/>
        </xsd:restriction>
      </xsd:simpleType>
    </xsd:element>
    <xsd:element name="PublishingStartDate" ma:index="14" nillable="true" ma:displayName="Start Date" ma:internalName="PublishingStartDate" ma:readOnly="false">
      <xsd:simpleType>
        <xsd:restriction base="dms:Unknown"/>
      </xsd:simpleType>
    </xsd:element>
    <xsd:element name="PublishingExpirationDate" ma:index="15" nillable="true" ma:displayName="End Date" ma:internalName="PublishingExpirationDate" ma:readOnly="false">
      <xsd:simpleType>
        <xsd:restriction base="dms:Unknown"/>
      </xsd:simpleType>
    </xsd:element>
    <xsd:element name="PublishingContact" ma:index="16" nillable="true" ma:displayName="Page Contact" ma:list="UserInfo" ma:internalName="PublishingContac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017e7-a48c-48bc-b49a-1be409ebd71c" elementFormDefault="qualified">
    <xsd:import namespace="http://schemas.microsoft.com/office/2006/documentManagement/types"/>
    <xsd:import namespace="http://schemas.microsoft.com/office/infopath/2007/PartnerControls"/>
    <xsd:element name="SubjectLookupField" ma:index="9" nillable="true" ma:displayName="Subject" ma:list="55e92e21-ef0e-4267-a133-145e5bb0df9f" ma:internalName="SubjectLookupField" ma:web="a9f017e7-a48c-48bc-b49a-1be409ebd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unctionLookupField" ma:index="10" nillable="true" ma:displayName="Function" ma:list="6c2c7dcb-3e00-4777-acec-55d4665addc0" ma:internalName="FunctionLookupField" ma:web="a9f017e7-a48c-48bc-b49a-1be409ebd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eywordsLookupField" ma:index="11" nillable="true" ma:displayName="Keywords" ma:list="96373275-198f-4301-8e65-b152895fc438" ma:internalName="KeywordsLookupField" ma:web="a9f017e7-a48c-48bc-b49a-1be409ebd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6718c-1a49-455c-83a9-7f550a5caa75" elementFormDefault="qualified">
    <xsd:import namespace="http://schemas.microsoft.com/office/2006/documentManagement/types"/>
    <xsd:import namespace="http://schemas.microsoft.com/office/infopath/2007/PartnerControls"/>
    <xsd:element name="AudienceField" ma:index="12" nillable="true" ma:displayName="Audience" ma:internalName="AudienceField">
      <xsd:simpleType>
        <xsd:restriction base="dms:Text"/>
      </xsd:simpleType>
    </xsd:element>
    <xsd:element name="FileReference" ma:index="13" nillable="true" ma:displayName="File Reference" ma:internalName="FileReference">
      <xsd:simpleType>
        <xsd:restriction base="dms:Text"/>
      </xsd:simpleType>
    </xsd:element>
    <xsd:element name="IncludeInNotificationsAndUpdates" ma:index="17" nillable="true" ma:displayName="Include In Notifications And Updates" ma:default="1" ma:internalName="IncludeInNotificationsAndUpdates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692C2D-5E30-4647-8AA2-56F34AE7DAB7}"/>
</file>

<file path=customXml/itemProps2.xml><?xml version="1.0" encoding="utf-8"?>
<ds:datastoreItem xmlns:ds="http://schemas.openxmlformats.org/officeDocument/2006/customXml" ds:itemID="{404A3076-7D58-4FEF-9C5C-62B636F63A9F}"/>
</file>

<file path=customXml/itemProps3.xml><?xml version="1.0" encoding="utf-8"?>
<ds:datastoreItem xmlns:ds="http://schemas.openxmlformats.org/officeDocument/2006/customXml" ds:itemID="{3B2D6646-D286-4723-B434-DEF0C0651373}"/>
</file>

<file path=customXml/itemProps4.xml><?xml version="1.0" encoding="utf-8"?>
<ds:datastoreItem xmlns:ds="http://schemas.openxmlformats.org/officeDocument/2006/customXml" ds:itemID="{F4C90DDC-2362-46B9-9C9B-8292A7B3E0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4018</Characters>
  <Application>Microsoft Office Word</Application>
  <DocSecurity>0</DocSecurity>
  <Lines>76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NMI Report Cover template (external)</vt:lpstr>
    </vt:vector>
  </TitlesOfParts>
  <Company>DIISRTE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Pattern Approval Requirements for Non-automatic Weighing Instruments</dc:title>
  <dc:creator>Gunning, Paul</dc:creator>
  <cp:lastModifiedBy> Nunzio Cristaudo</cp:lastModifiedBy>
  <cp:revision>2</cp:revision>
  <cp:lastPrinted>2015-10-02T00:29:00Z</cp:lastPrinted>
  <dcterms:created xsi:type="dcterms:W3CDTF">2015-10-02T00:29:00Z</dcterms:created>
  <dcterms:modified xsi:type="dcterms:W3CDTF">2015-10-02T00:29:00Z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Number">
    <vt:i4>0</vt:i4>
  </property>
  <property fmtid="{D5CDD505-2E9C-101B-9397-08002B2CF9AE}" pid="3" name="ClassificationPty">
    <vt:lpwstr/>
  </property>
  <property fmtid="{D5CDD505-2E9C-101B-9397-08002B2CF9AE}" pid="4" name="FileNumberPty">
    <vt:lpwstr/>
  </property>
  <property fmtid="{D5CDD505-2E9C-101B-9397-08002B2CF9AE}" pid="5" name="CorporateTmplBased">
    <vt:lpwstr>No</vt:lpwstr>
  </property>
  <property fmtid="{D5CDD505-2E9C-101B-9397-08002B2CF9AE}" pid="6" name="ContentTypeId">
    <vt:lpwstr>0x0101100025AF4C23721A4F4FB44C7E671DA01F230015423B73FEB043408327DC2093F10544</vt:lpwstr>
  </property>
</Properties>
</file>