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EFA" w:rsidRDefault="004F4A69" w:rsidP="005B0A2F">
      <w:pPr>
        <w:pStyle w:val="Title"/>
      </w:pPr>
      <w:bookmarkStart w:id="0" w:name="_Toc416876985"/>
      <w:r>
        <w:rPr>
          <w:noProof/>
          <w:lang w:eastAsia="en-AU"/>
        </w:rPr>
        <w:drawing>
          <wp:anchor distT="0" distB="0" distL="114300" distR="114300" simplePos="0" relativeHeight="251658240" behindDoc="1" locked="0" layoutInCell="1" allowOverlap="1" wp14:anchorId="1FE064BC" wp14:editId="7E85362B">
            <wp:simplePos x="0" y="0"/>
            <wp:positionH relativeFrom="column">
              <wp:posOffset>0</wp:posOffset>
            </wp:positionH>
            <wp:positionV relativeFrom="paragraph">
              <wp:posOffset>131445</wp:posOffset>
            </wp:positionV>
            <wp:extent cx="2136775" cy="1968500"/>
            <wp:effectExtent l="19050" t="19050" r="15875" b="12700"/>
            <wp:wrapTight wrapText="bothSides">
              <wp:wrapPolygon edited="0">
                <wp:start x="-193" y="-209"/>
                <wp:lineTo x="-193" y="21530"/>
                <wp:lineTo x="21568" y="21530"/>
                <wp:lineTo x="21568" y="-209"/>
                <wp:lineTo x="-193" y="-209"/>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5630" b="7476"/>
                    <a:stretch/>
                  </pic:blipFill>
                  <pic:spPr bwMode="auto">
                    <a:xfrm>
                      <a:off x="0" y="0"/>
                      <a:ext cx="2136775" cy="1968500"/>
                    </a:xfrm>
                    <a:prstGeom prst="rect">
                      <a:avLst/>
                    </a:prstGeom>
                    <a:noFill/>
                    <a:ln>
                      <a:solidFill>
                        <a:schemeClr val="accent2">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E0EFA" w:rsidRPr="00BE0EFA" w:rsidRDefault="00BE0EFA" w:rsidP="005B0A2F">
      <w:pPr>
        <w:pStyle w:val="Title"/>
        <w:rPr>
          <w:sz w:val="28"/>
          <w:szCs w:val="28"/>
        </w:rPr>
      </w:pPr>
    </w:p>
    <w:p w:rsidR="007750A9" w:rsidRPr="007750A9" w:rsidRDefault="00A920C3" w:rsidP="007750A9">
      <w:pPr>
        <w:pStyle w:val="Title"/>
      </w:pPr>
      <w:r>
        <w:t>Consultation on Draft Cost Recovery Implementation Statement 2018-2019</w:t>
      </w:r>
    </w:p>
    <w:p w:rsidR="007750A9" w:rsidRPr="007750A9" w:rsidRDefault="00A920C3" w:rsidP="007750A9">
      <w:pPr>
        <w:pStyle w:val="Subtitle"/>
      </w:pPr>
      <w:r>
        <w:t>December 2017</w:t>
      </w:r>
    </w:p>
    <w:p w:rsidR="007750A9" w:rsidRDefault="007750A9">
      <w:pPr>
        <w:rPr>
          <w:rFonts w:ascii="Arial Bold" w:eastAsiaTheme="majorEastAsia" w:hAnsi="Arial Bold" w:cstheme="majorBidi"/>
          <w:b/>
          <w:bCs/>
          <w:caps/>
          <w:szCs w:val="28"/>
        </w:rPr>
      </w:pPr>
      <w:r>
        <w:br w:type="page"/>
      </w:r>
    </w:p>
    <w:p w:rsidR="003E00E8" w:rsidRDefault="003E00E8" w:rsidP="007750A9">
      <w:pPr>
        <w:pStyle w:val="Heading1-nonumber"/>
        <w:sectPr w:rsidR="003E00E8" w:rsidSect="004F4A69">
          <w:pgSz w:w="11906" w:h="16838"/>
          <w:pgMar w:top="4537" w:right="1440" w:bottom="1440" w:left="1440" w:header="1414" w:footer="708" w:gutter="0"/>
          <w:cols w:space="708"/>
          <w:titlePg/>
          <w:docGrid w:linePitch="360"/>
        </w:sectPr>
      </w:pPr>
    </w:p>
    <w:p w:rsidR="003B35EB" w:rsidRDefault="003B35EB" w:rsidP="003B35EB">
      <w:pPr>
        <w:pStyle w:val="Heading1-nonumber"/>
        <w:rPr>
          <w:lang w:val="en"/>
        </w:rPr>
      </w:pPr>
      <w:r>
        <w:rPr>
          <w:lang w:val="en"/>
        </w:rPr>
        <w:lastRenderedPageBreak/>
        <w:t xml:space="preserve">Privacy Collection Statement </w:t>
      </w:r>
    </w:p>
    <w:p w:rsidR="003B35EB" w:rsidRDefault="00CE0FCE" w:rsidP="003B35EB">
      <w:pPr>
        <w:pStyle w:val="NormalWeb"/>
        <w:rPr>
          <w:lang w:val="en"/>
        </w:rPr>
      </w:pPr>
      <w:r>
        <w:rPr>
          <w:rFonts w:asciiTheme="minorHAnsi" w:eastAsiaTheme="minorHAnsi" w:hAnsiTheme="minorHAnsi" w:cstheme="minorBidi"/>
          <w:szCs w:val="22"/>
          <w:lang w:eastAsia="en-US"/>
        </w:rPr>
        <w:t xml:space="preserve">The Department of Industry, Innovation and Science </w:t>
      </w:r>
      <w:r w:rsidR="003B35EB" w:rsidRPr="003B35EB">
        <w:rPr>
          <w:rFonts w:asciiTheme="minorHAnsi" w:eastAsiaTheme="minorHAnsi" w:hAnsiTheme="minorHAnsi" w:cstheme="minorBidi"/>
          <w:szCs w:val="22"/>
          <w:lang w:eastAsia="en-US"/>
        </w:rPr>
        <w:t>(the Department) is bound by the Australian Privacy Principles (APPs) outlined in Schedule 1 of the Privacy Act 1988 (Cth) (Privacy Act) which regulates how entities may collect, use, disclose and store personal information. Information is being collected to enable and assist</w:t>
      </w:r>
      <w:r w:rsidR="006C3A0D">
        <w:rPr>
          <w:rFonts w:asciiTheme="minorHAnsi" w:eastAsiaTheme="minorHAnsi" w:hAnsiTheme="minorHAnsi" w:cstheme="minorBidi"/>
          <w:szCs w:val="22"/>
          <w:lang w:eastAsia="en-US"/>
        </w:rPr>
        <w:t xml:space="preserve"> the Department in ensuring the financial sustainability of Australia’s measurement system while at the same time facilitating innovation and reducing regulatory burden.</w:t>
      </w:r>
      <w:r w:rsidR="003B35EB" w:rsidRPr="003B35EB">
        <w:rPr>
          <w:rFonts w:asciiTheme="minorHAnsi" w:eastAsiaTheme="minorHAnsi" w:hAnsiTheme="minorHAnsi" w:cstheme="minorBidi"/>
          <w:szCs w:val="22"/>
          <w:lang w:eastAsia="en-US"/>
        </w:rPr>
        <w:br/>
      </w:r>
      <w:r w:rsidR="003B35EB" w:rsidRPr="003B35EB">
        <w:rPr>
          <w:rFonts w:asciiTheme="minorHAnsi" w:eastAsiaTheme="minorHAnsi" w:hAnsiTheme="minorHAnsi" w:cstheme="minorBidi"/>
          <w:szCs w:val="22"/>
          <w:lang w:eastAsia="en-US"/>
        </w:rPr>
        <w:br/>
        <w:t>All submissions including comments, opinions and responses to questions will be posted to the NMI website, unless you have clearly indicated your preference for confidentiality. Submissions marked as confidential will not be published on the NMI website.</w:t>
      </w:r>
      <w:r w:rsidR="003B35EB" w:rsidRPr="003B35EB">
        <w:rPr>
          <w:rFonts w:asciiTheme="minorHAnsi" w:eastAsiaTheme="minorHAnsi" w:hAnsiTheme="minorHAnsi" w:cstheme="minorBidi"/>
          <w:szCs w:val="22"/>
          <w:lang w:eastAsia="en-US"/>
        </w:rPr>
        <w:br/>
      </w:r>
      <w:r w:rsidR="003B35EB" w:rsidRPr="003B35EB">
        <w:rPr>
          <w:rFonts w:asciiTheme="minorHAnsi" w:eastAsiaTheme="minorHAnsi" w:hAnsiTheme="minorHAnsi" w:cstheme="minorBidi"/>
          <w:szCs w:val="22"/>
          <w:lang w:eastAsia="en-US"/>
        </w:rPr>
        <w:br/>
        <w:t xml:space="preserve">The Department will collect from all submissions, personal information including name, email address, State/Territory of residence and/or the organisation you represent (if applicable) for the purposes of </w:t>
      </w:r>
      <w:r w:rsidR="006C3A0D">
        <w:rPr>
          <w:rFonts w:asciiTheme="minorHAnsi" w:eastAsiaTheme="minorHAnsi" w:hAnsiTheme="minorHAnsi" w:cstheme="minorBidi"/>
          <w:szCs w:val="22"/>
          <w:lang w:eastAsia="en-US"/>
        </w:rPr>
        <w:t>this</w:t>
      </w:r>
      <w:r w:rsidR="003B35EB" w:rsidRPr="003B35EB">
        <w:rPr>
          <w:rFonts w:asciiTheme="minorHAnsi" w:eastAsiaTheme="minorHAnsi" w:hAnsiTheme="minorHAnsi" w:cstheme="minorBidi"/>
          <w:szCs w:val="22"/>
          <w:lang w:eastAsia="en-US"/>
        </w:rPr>
        <w:t xml:space="preserve"> consultation process.</w:t>
      </w:r>
      <w:r w:rsidR="003B35EB" w:rsidRPr="003B35EB">
        <w:rPr>
          <w:rFonts w:asciiTheme="minorHAnsi" w:eastAsiaTheme="minorHAnsi" w:hAnsiTheme="minorHAnsi" w:cstheme="minorBidi"/>
          <w:szCs w:val="22"/>
          <w:lang w:eastAsia="en-US"/>
        </w:rPr>
        <w:br/>
      </w:r>
      <w:r w:rsidR="003B35EB" w:rsidRPr="003B35EB">
        <w:rPr>
          <w:rFonts w:asciiTheme="minorHAnsi" w:eastAsiaTheme="minorHAnsi" w:hAnsiTheme="minorHAnsi" w:cstheme="minorBidi"/>
          <w:szCs w:val="22"/>
          <w:lang w:eastAsia="en-US"/>
        </w:rPr>
        <w:br/>
        <w:t>The personal information provided by you, such as your name, consent for submission publication (except where submitter specifies otherwise), and/or the company name, (if applicable), will be included on the NMI website to identify your submission, unless it is marked confidential. Contact information such as your email address will not be published however, upon your agreement it can be used to provide you with updates and developments</w:t>
      </w:r>
      <w:r w:rsidR="006C3A0D">
        <w:rPr>
          <w:rFonts w:asciiTheme="minorHAnsi" w:eastAsiaTheme="minorHAnsi" w:hAnsiTheme="minorHAnsi" w:cstheme="minorBidi"/>
          <w:szCs w:val="22"/>
          <w:lang w:eastAsia="en-US"/>
        </w:rPr>
        <w:t xml:space="preserve"> in the measurement space applicable to you</w:t>
      </w:r>
      <w:r w:rsidR="003B35EB" w:rsidRPr="003B35EB">
        <w:rPr>
          <w:rFonts w:asciiTheme="minorHAnsi" w:eastAsiaTheme="minorHAnsi" w:hAnsiTheme="minorHAnsi" w:cstheme="minorBidi"/>
          <w:szCs w:val="22"/>
          <w:lang w:eastAsia="en-US"/>
        </w:rPr>
        <w:t>.</w:t>
      </w:r>
      <w:r w:rsidR="003B35EB" w:rsidRPr="003B35EB">
        <w:rPr>
          <w:rFonts w:asciiTheme="minorHAnsi" w:eastAsiaTheme="minorHAnsi" w:hAnsiTheme="minorHAnsi" w:cstheme="minorBidi"/>
          <w:szCs w:val="22"/>
          <w:lang w:eastAsia="en-US"/>
        </w:rPr>
        <w:br/>
      </w:r>
      <w:r w:rsidR="003B35EB" w:rsidRPr="003B35EB">
        <w:rPr>
          <w:rFonts w:asciiTheme="minorHAnsi" w:eastAsiaTheme="minorHAnsi" w:hAnsiTheme="minorHAnsi" w:cstheme="minorBidi"/>
          <w:szCs w:val="22"/>
          <w:lang w:eastAsia="en-US"/>
        </w:rPr>
        <w:br/>
        <w:t xml:space="preserve">Submissions may be disclosed to Departmental staff, the Minister and staff members of the Minister’s Office for the purposes of administering </w:t>
      </w:r>
      <w:r w:rsidR="006C3A0D">
        <w:rPr>
          <w:rFonts w:asciiTheme="minorHAnsi" w:eastAsiaTheme="minorHAnsi" w:hAnsiTheme="minorHAnsi" w:cstheme="minorBidi"/>
          <w:szCs w:val="22"/>
          <w:lang w:eastAsia="en-US"/>
        </w:rPr>
        <w:t xml:space="preserve">the national measurement system and any associated fees </w:t>
      </w:r>
      <w:r w:rsidR="003B35EB" w:rsidRPr="003B35EB">
        <w:rPr>
          <w:rFonts w:asciiTheme="minorHAnsi" w:eastAsiaTheme="minorHAnsi" w:hAnsiTheme="minorHAnsi" w:cstheme="minorBidi"/>
          <w:szCs w:val="22"/>
          <w:lang w:eastAsia="en-US"/>
        </w:rPr>
        <w:t>(including the development of other policy documentation). A list containing the names of all entities that have made submissions will be provided to the Minister’s Office. Personal Information obtained will be stored and held in accordance with the Department’s obligations under the Archives Act 1983 (Cth). Personal information obtained will only be used and disclosed for the purposes outlined above and will not be used or disclosed without your consent, except where authorised or required by law. For further information, please refer to the Department’s</w:t>
      </w:r>
      <w:r w:rsidR="003B35EB" w:rsidRPr="003B35EB">
        <w:rPr>
          <w:rFonts w:asciiTheme="minorHAnsi" w:hAnsiTheme="minorHAnsi"/>
          <w:lang w:val="en"/>
        </w:rPr>
        <w:t xml:space="preserve"> </w:t>
      </w:r>
      <w:hyperlink r:id="rId9" w:tgtFrame="_blank" w:history="1">
        <w:r w:rsidR="003B35EB" w:rsidRPr="003B35EB">
          <w:rPr>
            <w:rStyle w:val="Hyperlink"/>
            <w:rFonts w:asciiTheme="minorHAnsi" w:hAnsiTheme="minorHAnsi"/>
            <w:lang w:val="en"/>
          </w:rPr>
          <w:t>Privacy Policy</w:t>
        </w:r>
      </w:hyperlink>
      <w:r w:rsidR="003B35EB" w:rsidRPr="003B35EB">
        <w:rPr>
          <w:rFonts w:asciiTheme="minorHAnsi" w:hAnsiTheme="minorHAnsi"/>
          <w:lang w:val="en"/>
        </w:rPr>
        <w:t>.</w:t>
      </w:r>
    </w:p>
    <w:p w:rsidR="003B35EB" w:rsidRDefault="003B35EB" w:rsidP="003B35EB">
      <w:pPr>
        <w:rPr>
          <w:lang w:val="en"/>
        </w:rPr>
      </w:pPr>
      <w:r>
        <w:rPr>
          <w:rStyle w:val="the-question"/>
          <w:lang w:val="en"/>
        </w:rPr>
        <w:t>Do you agree to the Privacy Collection Statement?</w:t>
      </w:r>
    </w:p>
    <w:p w:rsidR="003B35EB" w:rsidRDefault="00FA1AC9" w:rsidP="003B35EB">
      <w:sdt>
        <w:sdtPr>
          <w:id w:val="2008785225"/>
          <w14:checkbox>
            <w14:checked w14:val="0"/>
            <w14:checkedState w14:val="2612" w14:font="MS Gothic"/>
            <w14:uncheckedState w14:val="2610" w14:font="MS Gothic"/>
          </w14:checkbox>
        </w:sdtPr>
        <w:sdtEndPr/>
        <w:sdtContent>
          <w:r w:rsidR="003B35EB">
            <w:rPr>
              <w:rFonts w:ascii="MS Gothic" w:eastAsia="MS Gothic" w:hAnsi="MS Gothic" w:hint="eastAsia"/>
            </w:rPr>
            <w:t>☐</w:t>
          </w:r>
        </w:sdtContent>
      </w:sdt>
      <w:r w:rsidR="003B35EB">
        <w:t xml:space="preserve"> </w:t>
      </w:r>
      <w:r w:rsidR="003B35EB">
        <w:rPr>
          <w:lang w:val="en"/>
        </w:rPr>
        <w:t>Yes, I agree</w:t>
      </w:r>
    </w:p>
    <w:p w:rsidR="003B35EB" w:rsidRDefault="00FA1AC9" w:rsidP="003B35EB">
      <w:sdt>
        <w:sdtPr>
          <w:id w:val="-1124988921"/>
          <w14:checkbox>
            <w14:checked w14:val="0"/>
            <w14:checkedState w14:val="2612" w14:font="MS Gothic"/>
            <w14:uncheckedState w14:val="2610" w14:font="MS Gothic"/>
          </w14:checkbox>
        </w:sdtPr>
        <w:sdtEndPr/>
        <w:sdtContent>
          <w:r w:rsidR="003B35EB">
            <w:rPr>
              <w:rFonts w:ascii="MS Gothic" w:eastAsia="MS Gothic" w:hAnsi="MS Gothic" w:hint="eastAsia"/>
            </w:rPr>
            <w:t>☐</w:t>
          </w:r>
        </w:sdtContent>
      </w:sdt>
      <w:r w:rsidR="003B35EB">
        <w:t xml:space="preserve"> </w:t>
      </w:r>
      <w:r w:rsidR="003B35EB">
        <w:rPr>
          <w:lang w:val="en"/>
        </w:rPr>
        <w:t>Yes, I agree and would like to make a confidential submission</w:t>
      </w:r>
    </w:p>
    <w:p w:rsidR="003B35EB" w:rsidRDefault="00FA1AC9" w:rsidP="003B35EB">
      <w:pPr>
        <w:rPr>
          <w:lang w:val="en"/>
        </w:rPr>
      </w:pPr>
      <w:sdt>
        <w:sdtPr>
          <w:id w:val="1280606265"/>
          <w14:checkbox>
            <w14:checked w14:val="0"/>
            <w14:checkedState w14:val="2612" w14:font="MS Gothic"/>
            <w14:uncheckedState w14:val="2610" w14:font="MS Gothic"/>
          </w14:checkbox>
        </w:sdtPr>
        <w:sdtEndPr/>
        <w:sdtContent>
          <w:r w:rsidR="003B35EB">
            <w:rPr>
              <w:rFonts w:ascii="MS Gothic" w:eastAsia="MS Gothic" w:hAnsi="MS Gothic" w:hint="eastAsia"/>
            </w:rPr>
            <w:t>☐</w:t>
          </w:r>
        </w:sdtContent>
      </w:sdt>
      <w:r w:rsidR="003B35EB">
        <w:t xml:space="preserve"> </w:t>
      </w:r>
      <w:r w:rsidR="003B35EB">
        <w:rPr>
          <w:lang w:val="en"/>
        </w:rPr>
        <w:t>No, I do not agree</w:t>
      </w:r>
    </w:p>
    <w:p w:rsidR="003B35EB" w:rsidRDefault="003B35EB" w:rsidP="003B35EB">
      <w:r w:rsidRPr="003B35EB">
        <w:rPr>
          <w:b/>
          <w:lang w:val="en"/>
        </w:rPr>
        <w:t>Please note:</w:t>
      </w:r>
      <w:r>
        <w:rPr>
          <w:lang w:val="en"/>
        </w:rPr>
        <w:t xml:space="preserve"> Without agreeing to the privacy collection statement you cannot proceed to make a submission.</w:t>
      </w:r>
    </w:p>
    <w:p w:rsidR="003B35EB" w:rsidRDefault="003B35EB">
      <w:pPr>
        <w:rPr>
          <w:rFonts w:ascii="Arial Bold" w:eastAsiaTheme="majorEastAsia" w:hAnsi="Arial Bold" w:cstheme="majorBidi"/>
          <w:b/>
          <w:bCs/>
          <w:caps/>
          <w:szCs w:val="28"/>
        </w:rPr>
      </w:pPr>
    </w:p>
    <w:p w:rsidR="003B35EB" w:rsidRDefault="003B35EB">
      <w:pPr>
        <w:rPr>
          <w:rFonts w:ascii="Arial Bold" w:eastAsiaTheme="majorEastAsia" w:hAnsi="Arial Bold" w:cstheme="majorBidi"/>
          <w:b/>
          <w:bCs/>
          <w:caps/>
          <w:szCs w:val="28"/>
        </w:rPr>
      </w:pPr>
      <w:r>
        <w:br w:type="page"/>
      </w:r>
    </w:p>
    <w:p w:rsidR="007750A9" w:rsidRPr="00126945" w:rsidRDefault="007750A9" w:rsidP="007750A9">
      <w:pPr>
        <w:pStyle w:val="Heading1-nonumber"/>
      </w:pPr>
      <w:r>
        <w:lastRenderedPageBreak/>
        <w:t>Providing your feedback</w:t>
      </w:r>
      <w:bookmarkEnd w:id="0"/>
    </w:p>
    <w:p w:rsidR="007750A9" w:rsidRDefault="007750A9" w:rsidP="007750A9">
      <w:r>
        <w:t xml:space="preserve">The National Measurement Institute (NMI) invites submissions to the </w:t>
      </w:r>
      <w:r w:rsidR="006C3A0D">
        <w:t>Consultation on Draft Cost Recovery Implementation Statement 2018-2019</w:t>
      </w:r>
      <w:r>
        <w:t>.</w:t>
      </w:r>
    </w:p>
    <w:p w:rsidR="007750A9" w:rsidRDefault="007750A9" w:rsidP="007750A9">
      <w:r>
        <w:t>The</w:t>
      </w:r>
      <w:r w:rsidRPr="00F83CDF">
        <w:t xml:space="preserve"> public consultation process will run from </w:t>
      </w:r>
      <w:r w:rsidR="003C3DCA">
        <w:rPr>
          <w:b/>
        </w:rPr>
        <w:t>14</w:t>
      </w:r>
      <w:r w:rsidR="002D2310">
        <w:rPr>
          <w:b/>
        </w:rPr>
        <w:t xml:space="preserve"> </w:t>
      </w:r>
      <w:r w:rsidR="006C3A0D">
        <w:rPr>
          <w:b/>
        </w:rPr>
        <w:t xml:space="preserve">December 2017 until </w:t>
      </w:r>
      <w:r w:rsidR="00927374">
        <w:rPr>
          <w:b/>
        </w:rPr>
        <w:t>8</w:t>
      </w:r>
      <w:r w:rsidR="002D2310">
        <w:rPr>
          <w:b/>
        </w:rPr>
        <w:t xml:space="preserve"> February</w:t>
      </w:r>
      <w:r w:rsidR="006C3A0D">
        <w:rPr>
          <w:b/>
        </w:rPr>
        <w:t xml:space="preserve"> 2018</w:t>
      </w:r>
      <w:r w:rsidRPr="00F83CDF">
        <w:t>.</w:t>
      </w:r>
    </w:p>
    <w:p w:rsidR="007750A9" w:rsidRDefault="007750A9" w:rsidP="007750A9">
      <w:r w:rsidRPr="00F30679">
        <w:t xml:space="preserve">The closing date for submissions and comments is </w:t>
      </w:r>
      <w:r w:rsidR="00927374">
        <w:rPr>
          <w:b/>
        </w:rPr>
        <w:t>8</w:t>
      </w:r>
      <w:r w:rsidR="002D2310">
        <w:rPr>
          <w:b/>
        </w:rPr>
        <w:t xml:space="preserve"> February</w:t>
      </w:r>
      <w:r w:rsidR="006C3A0D">
        <w:rPr>
          <w:b/>
        </w:rPr>
        <w:t xml:space="preserve"> 2018</w:t>
      </w:r>
      <w:r w:rsidRPr="00F30679">
        <w:t>.</w:t>
      </w:r>
    </w:p>
    <w:p w:rsidR="006C3A0D" w:rsidRPr="006C3A0D" w:rsidRDefault="006C3A0D" w:rsidP="006C3A0D">
      <w:r>
        <w:t>The</w:t>
      </w:r>
      <w:r w:rsidRPr="006C3A0D">
        <w:t xml:space="preserve"> consultation </w:t>
      </w:r>
      <w:r>
        <w:t xml:space="preserve">draft </w:t>
      </w:r>
      <w:r w:rsidRPr="006C3A0D">
        <w:t>seeks feedback from interested stakeholders to inform the government’s decision to refresh authority to recover costs for services associated with the delivery of regulatory functions by the NMI under the National Measurement Act 1960 (the Act).</w:t>
      </w:r>
    </w:p>
    <w:p w:rsidR="007750A9" w:rsidRDefault="007750A9" w:rsidP="007750A9">
      <w:r>
        <w:t xml:space="preserve">This consultation will inform the development of an Early Assessment Regulation Impact Statement (RIS). The RIS process is part of the Government’s firm commitment towards better regulation that delivers net benefits for businesses and the community. The objective of the Early Assessment RIS is to inform the Government’s decision </w:t>
      </w:r>
      <w:r w:rsidR="00FA5CD5">
        <w:t>to refresh the authority to recover sot for regulatory services provided by NMI and the proposed</w:t>
      </w:r>
      <w:r w:rsidR="006C3A0D">
        <w:t xml:space="preserve"> schedule of fee</w:t>
      </w:r>
      <w:r w:rsidR="00FA5CD5">
        <w:t>s</w:t>
      </w:r>
      <w:r>
        <w:t xml:space="preserve"> </w:t>
      </w:r>
      <w:r w:rsidR="00FA5CD5">
        <w:t xml:space="preserve">and charges </w:t>
      </w:r>
      <w:r>
        <w:t xml:space="preserve">based on evidence </w:t>
      </w:r>
      <w:r w:rsidR="00BE0EFA">
        <w:t>and feedback from stakeholders.</w:t>
      </w:r>
    </w:p>
    <w:p w:rsidR="003E00E8" w:rsidRDefault="003E00E8" w:rsidP="00BE0EFA">
      <w:pPr>
        <w:sectPr w:rsidR="003E00E8" w:rsidSect="004F4A69">
          <w:pgSz w:w="11906" w:h="16838"/>
          <w:pgMar w:top="1440" w:right="1440" w:bottom="1440" w:left="1440" w:header="2694" w:footer="708" w:gutter="0"/>
          <w:cols w:space="708"/>
          <w:titlePg/>
          <w:docGrid w:linePitch="360"/>
        </w:sectPr>
      </w:pPr>
      <w:bookmarkStart w:id="1" w:name="_Toc416876986"/>
    </w:p>
    <w:p w:rsidR="007750A9" w:rsidRPr="001E73D2" w:rsidRDefault="007750A9" w:rsidP="007750A9">
      <w:pPr>
        <w:pStyle w:val="Heading2-non-umber"/>
      </w:pPr>
      <w:r w:rsidRPr="001E73D2">
        <w:lastRenderedPageBreak/>
        <w:t>Submissions to this consultation paper</w:t>
      </w:r>
      <w:bookmarkEnd w:id="1"/>
    </w:p>
    <w:p w:rsidR="007750A9" w:rsidRPr="003D23C9" w:rsidRDefault="007750A9" w:rsidP="007750A9">
      <w:pPr>
        <w:rPr>
          <w:szCs w:val="24"/>
        </w:rPr>
      </w:pPr>
      <w:r w:rsidRPr="003D23C9">
        <w:rPr>
          <w:szCs w:val="24"/>
        </w:rPr>
        <w:t>Throughout this paper there are questions to facilitate and focus submissions. These should be used as a guide when submitting a written response, but input is welcome on all of the issues raised in the paper. There is no limit to the length of submissions.</w:t>
      </w:r>
    </w:p>
    <w:p w:rsidR="007750A9" w:rsidRPr="003D23C9" w:rsidRDefault="007750A9" w:rsidP="007750A9">
      <w:pPr>
        <w:rPr>
          <w:szCs w:val="24"/>
        </w:rPr>
      </w:pPr>
      <w:r w:rsidRPr="003D23C9">
        <w:rPr>
          <w:szCs w:val="24"/>
        </w:rPr>
        <w:t>Submissions emailed electronically are preferred. For accessibility reasons, please email responses in a Word format. An additional PDF version may also be submitted.</w:t>
      </w:r>
    </w:p>
    <w:p w:rsidR="007750A9" w:rsidRPr="003D23C9" w:rsidRDefault="007750A9" w:rsidP="007750A9">
      <w:pPr>
        <w:rPr>
          <w:szCs w:val="24"/>
        </w:rPr>
      </w:pPr>
      <w:r w:rsidRPr="003D23C9">
        <w:rPr>
          <w:szCs w:val="24"/>
        </w:rPr>
        <w:t>NMI reserves the right to publish your formal submission on the NMI website, unless you mark it as confidential.</w:t>
      </w:r>
    </w:p>
    <w:p w:rsidR="007750A9" w:rsidRPr="003D23C9" w:rsidRDefault="007750A9" w:rsidP="007750A9">
      <w:pPr>
        <w:rPr>
          <w:szCs w:val="24"/>
        </w:rPr>
      </w:pPr>
      <w:r w:rsidRPr="003D23C9">
        <w:rPr>
          <w:szCs w:val="24"/>
        </w:rPr>
        <w:t xml:space="preserve">Please provide submissions by close of business </w:t>
      </w:r>
      <w:r w:rsidR="00927374">
        <w:rPr>
          <w:b/>
          <w:szCs w:val="24"/>
        </w:rPr>
        <w:t>8</w:t>
      </w:r>
      <w:r w:rsidR="002D2310">
        <w:rPr>
          <w:b/>
          <w:szCs w:val="24"/>
        </w:rPr>
        <w:t xml:space="preserve"> February</w:t>
      </w:r>
      <w:r w:rsidR="00FA5CD5" w:rsidRPr="00FC3CA5">
        <w:rPr>
          <w:b/>
          <w:szCs w:val="24"/>
        </w:rPr>
        <w:t xml:space="preserve"> 2018</w:t>
      </w:r>
      <w:r w:rsidRPr="003D23C9">
        <w:rPr>
          <w:szCs w:val="24"/>
        </w:rPr>
        <w:t xml:space="preserve"> either by:</w:t>
      </w:r>
    </w:p>
    <w:p w:rsidR="007750A9" w:rsidRPr="00231552" w:rsidRDefault="007750A9" w:rsidP="00231552">
      <w:pPr>
        <w:pStyle w:val="ListParagraph"/>
        <w:numPr>
          <w:ilvl w:val="0"/>
          <w:numId w:val="3"/>
        </w:numPr>
        <w:spacing w:before="120" w:after="120"/>
        <w:ind w:left="360"/>
        <w:contextualSpacing w:val="0"/>
        <w:rPr>
          <w:sz w:val="24"/>
          <w:szCs w:val="24"/>
        </w:rPr>
      </w:pPr>
      <w:r w:rsidRPr="00231552">
        <w:rPr>
          <w:sz w:val="24"/>
          <w:szCs w:val="24"/>
        </w:rPr>
        <w:t>emailing your submission with the subject heading ‘</w:t>
      </w:r>
      <w:r w:rsidR="00231552" w:rsidRPr="00231552">
        <w:rPr>
          <w:sz w:val="24"/>
          <w:szCs w:val="24"/>
        </w:rPr>
        <w:t>Consultation on Draft CRIS 2018-19’</w:t>
      </w:r>
      <w:r w:rsidRPr="00231552">
        <w:rPr>
          <w:sz w:val="24"/>
          <w:szCs w:val="24"/>
        </w:rPr>
        <w:t xml:space="preserve"> and your company or individual name to the following email address</w:t>
      </w:r>
      <w:r w:rsidR="00231552" w:rsidRPr="00231552">
        <w:rPr>
          <w:sz w:val="24"/>
          <w:szCs w:val="24"/>
        </w:rPr>
        <w:t xml:space="preserve"> </w:t>
      </w:r>
      <w:r w:rsidR="00231552">
        <w:rPr>
          <w:sz w:val="24"/>
          <w:szCs w:val="24"/>
        </w:rPr>
        <w:t>-</w:t>
      </w:r>
      <w:hyperlink r:id="rId10" w:history="1">
        <w:r w:rsidR="00231552" w:rsidRPr="00952A2E">
          <w:rPr>
            <w:rStyle w:val="Hyperlink"/>
          </w:rPr>
          <w:t>NMICostRecovery@measurement.gov.au</w:t>
        </w:r>
      </w:hyperlink>
      <w:r w:rsidRPr="00231552">
        <w:rPr>
          <w:sz w:val="24"/>
          <w:szCs w:val="24"/>
        </w:rPr>
        <w:t xml:space="preserve"> ; or</w:t>
      </w:r>
    </w:p>
    <w:p w:rsidR="007750A9" w:rsidRPr="003D23C9" w:rsidRDefault="007750A9" w:rsidP="00231552">
      <w:pPr>
        <w:pStyle w:val="ListParagraph"/>
        <w:numPr>
          <w:ilvl w:val="0"/>
          <w:numId w:val="3"/>
        </w:numPr>
        <w:spacing w:before="120" w:after="120"/>
        <w:ind w:left="360"/>
        <w:contextualSpacing w:val="0"/>
        <w:rPr>
          <w:sz w:val="24"/>
          <w:szCs w:val="24"/>
        </w:rPr>
      </w:pPr>
      <w:r w:rsidRPr="003D23C9">
        <w:rPr>
          <w:sz w:val="24"/>
          <w:szCs w:val="24"/>
        </w:rPr>
        <w:t>mailing your submission with the subject heading ‘</w:t>
      </w:r>
      <w:r w:rsidR="00231552" w:rsidRPr="00231552">
        <w:rPr>
          <w:sz w:val="24"/>
          <w:szCs w:val="24"/>
        </w:rPr>
        <w:t>Consultation on Draft CRIS 2018-19</w:t>
      </w:r>
      <w:r w:rsidRPr="003D23C9">
        <w:rPr>
          <w:sz w:val="24"/>
          <w:szCs w:val="24"/>
        </w:rPr>
        <w:t>’ and company or individual name to:</w:t>
      </w:r>
    </w:p>
    <w:p w:rsidR="007750A9" w:rsidRPr="003D23C9" w:rsidRDefault="007750A9" w:rsidP="00231552">
      <w:pPr>
        <w:pStyle w:val="ListParagraph"/>
        <w:spacing w:after="0" w:line="240" w:lineRule="auto"/>
        <w:ind w:left="1080" w:firstLine="720"/>
        <w:rPr>
          <w:sz w:val="24"/>
          <w:szCs w:val="24"/>
        </w:rPr>
      </w:pPr>
      <w:r w:rsidRPr="003D23C9">
        <w:rPr>
          <w:sz w:val="24"/>
          <w:szCs w:val="24"/>
        </w:rPr>
        <w:t>Legal Metrology Branch</w:t>
      </w:r>
    </w:p>
    <w:p w:rsidR="003E00E8" w:rsidRPr="003D23C9" w:rsidRDefault="007750A9" w:rsidP="00231552">
      <w:pPr>
        <w:pStyle w:val="ListParagraph"/>
        <w:spacing w:after="0" w:line="240" w:lineRule="auto"/>
        <w:ind w:left="1080" w:firstLine="720"/>
        <w:rPr>
          <w:sz w:val="24"/>
          <w:szCs w:val="24"/>
        </w:rPr>
      </w:pPr>
      <w:r w:rsidRPr="003D23C9">
        <w:rPr>
          <w:sz w:val="24"/>
          <w:szCs w:val="24"/>
        </w:rPr>
        <w:t>National Measurement Institute</w:t>
      </w:r>
    </w:p>
    <w:p w:rsidR="007750A9" w:rsidRPr="003D23C9" w:rsidRDefault="00935637" w:rsidP="00231552">
      <w:pPr>
        <w:pStyle w:val="ListParagraph"/>
        <w:spacing w:after="0" w:line="240" w:lineRule="auto"/>
        <w:ind w:left="1080" w:firstLine="720"/>
        <w:rPr>
          <w:sz w:val="24"/>
          <w:szCs w:val="24"/>
        </w:rPr>
      </w:pPr>
      <w:r>
        <w:rPr>
          <w:sz w:val="24"/>
          <w:szCs w:val="24"/>
        </w:rPr>
        <w:t>G</w:t>
      </w:r>
      <w:r w:rsidR="007750A9" w:rsidRPr="003D23C9">
        <w:rPr>
          <w:sz w:val="24"/>
          <w:szCs w:val="24"/>
        </w:rPr>
        <w:t xml:space="preserve">PO Box </w:t>
      </w:r>
      <w:r>
        <w:rPr>
          <w:sz w:val="24"/>
          <w:szCs w:val="24"/>
        </w:rPr>
        <w:t>2013</w:t>
      </w:r>
    </w:p>
    <w:p w:rsidR="007750A9" w:rsidRPr="003D23C9" w:rsidRDefault="00935637" w:rsidP="00231552">
      <w:pPr>
        <w:pStyle w:val="ListParagraph"/>
        <w:spacing w:after="0" w:line="240" w:lineRule="auto"/>
        <w:ind w:left="1080" w:firstLine="720"/>
        <w:rPr>
          <w:sz w:val="24"/>
          <w:szCs w:val="24"/>
        </w:rPr>
      </w:pPr>
      <w:r>
        <w:rPr>
          <w:sz w:val="24"/>
          <w:szCs w:val="24"/>
        </w:rPr>
        <w:t>Canberra, ACT 2601</w:t>
      </w:r>
    </w:p>
    <w:p w:rsidR="007750A9" w:rsidRPr="003D23C9" w:rsidRDefault="007750A9" w:rsidP="00231552">
      <w:pPr>
        <w:pStyle w:val="ListParagraph"/>
        <w:spacing w:after="0" w:line="240" w:lineRule="auto"/>
        <w:ind w:left="1080" w:firstLine="720"/>
        <w:rPr>
          <w:sz w:val="24"/>
          <w:szCs w:val="24"/>
        </w:rPr>
      </w:pPr>
      <w:r w:rsidRPr="003D23C9">
        <w:rPr>
          <w:sz w:val="24"/>
          <w:szCs w:val="24"/>
        </w:rPr>
        <w:t xml:space="preserve">Attention: </w:t>
      </w:r>
      <w:r w:rsidR="00BB0526">
        <w:rPr>
          <w:sz w:val="24"/>
          <w:szCs w:val="24"/>
        </w:rPr>
        <w:t>‘Cost Recovery Consultation’</w:t>
      </w:r>
      <w:bookmarkStart w:id="2" w:name="_GoBack"/>
      <w:bookmarkEnd w:id="2"/>
    </w:p>
    <w:p w:rsidR="007750A9" w:rsidRPr="001E73D2" w:rsidRDefault="007750A9" w:rsidP="007750A9">
      <w:pPr>
        <w:pStyle w:val="Heading2-non-umber"/>
      </w:pPr>
      <w:bookmarkStart w:id="3" w:name="_Toc416876987"/>
      <w:r w:rsidRPr="001E73D2">
        <w:t>Providing a confidential submission</w:t>
      </w:r>
      <w:bookmarkEnd w:id="3"/>
    </w:p>
    <w:p w:rsidR="007750A9" w:rsidRPr="00F83CDF" w:rsidRDefault="007750A9" w:rsidP="007750A9">
      <w:r w:rsidRPr="00F83CDF">
        <w:t xml:space="preserve">All information (including name and address details) contained in formal submissions may be made available to the public on the NMI website, unless it is indicated that you would like all or part of your submission to remain confidential. </w:t>
      </w:r>
    </w:p>
    <w:p w:rsidR="007750A9" w:rsidRPr="00F83CDF" w:rsidRDefault="007750A9" w:rsidP="007750A9">
      <w:r w:rsidRPr="00F83CDF">
        <w:t>Please note that automatically generated confidentiality statements in emails do not suffice for this purpose. Respondents who would like part of their submission to remain confidential should provide this information marked as a separate document.</w:t>
      </w:r>
    </w:p>
    <w:p w:rsidR="007750A9" w:rsidRDefault="007750A9" w:rsidP="007750A9">
      <w:r w:rsidRPr="00F83CDF">
        <w:t xml:space="preserve">A request made under the </w:t>
      </w:r>
      <w:r w:rsidRPr="000027AD">
        <w:rPr>
          <w:i/>
        </w:rPr>
        <w:t>Freedom of Information Act 1982</w:t>
      </w:r>
      <w:r w:rsidRPr="00F83CDF">
        <w:t xml:space="preserve"> (Cth) for a submission marked ‘confidential’ to be made available will be determined in accordance with that Act.</w:t>
      </w:r>
    </w:p>
    <w:p w:rsidR="00843F3A" w:rsidRDefault="00843F3A">
      <w:r>
        <w:br w:type="page"/>
      </w:r>
    </w:p>
    <w:p w:rsidR="003E00E8" w:rsidRDefault="003E00E8" w:rsidP="007750A9">
      <w:pPr>
        <w:pStyle w:val="Heading1-nonumber"/>
        <w:sectPr w:rsidR="003E00E8" w:rsidSect="004F4A69">
          <w:pgSz w:w="11906" w:h="16838"/>
          <w:pgMar w:top="1440" w:right="1440" w:bottom="1440" w:left="1440" w:header="2694" w:footer="708" w:gutter="0"/>
          <w:cols w:space="708"/>
          <w:titlePg/>
          <w:docGrid w:linePitch="360"/>
        </w:sectPr>
      </w:pPr>
    </w:p>
    <w:p w:rsidR="00843F3A" w:rsidRPr="00843F3A" w:rsidRDefault="00843F3A" w:rsidP="007750A9">
      <w:pPr>
        <w:pStyle w:val="Heading1-nonumber"/>
      </w:pPr>
      <w:r w:rsidRPr="00843F3A">
        <w:lastRenderedPageBreak/>
        <w:t>SUBMISSION DETAILS</w:t>
      </w:r>
    </w:p>
    <w:p w:rsidR="00272A69" w:rsidRDefault="00272A69">
      <w:r>
        <w:t>Name:</w:t>
      </w:r>
    </w:p>
    <w:p w:rsidR="00272A69" w:rsidRDefault="00051733">
      <w:r>
        <w:fldChar w:fldCharType="begin">
          <w:ffData>
            <w:name w:val="Text1"/>
            <w:enabled/>
            <w:calcOnExit w:val="0"/>
            <w:textInput>
              <w:default w:val="Insert Text"/>
            </w:textInput>
          </w:ffData>
        </w:fldChar>
      </w:r>
      <w:bookmarkStart w:id="4" w:name="Text1"/>
      <w:r>
        <w:instrText xml:space="preserve"> FORMTEXT </w:instrText>
      </w:r>
      <w:r>
        <w:fldChar w:fldCharType="separate"/>
      </w:r>
      <w:r>
        <w:rPr>
          <w:noProof/>
        </w:rPr>
        <w:t>Insert Text</w:t>
      </w:r>
      <w:r>
        <w:fldChar w:fldCharType="end"/>
      </w:r>
      <w:bookmarkEnd w:id="4"/>
    </w:p>
    <w:p w:rsidR="00272A69" w:rsidRDefault="00272A69">
      <w:r>
        <w:t>Street Address / PO Box:</w:t>
      </w:r>
    </w:p>
    <w:p w:rsidR="00051733" w:rsidRDefault="00051733" w:rsidP="00051733">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72A69" w:rsidRDefault="00272A69">
      <w:r>
        <w:t>City:</w:t>
      </w:r>
    </w:p>
    <w:p w:rsidR="00051733" w:rsidRDefault="00051733" w:rsidP="00051733">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72A69" w:rsidRDefault="00272A69">
      <w:r>
        <w:t>State / Territory:</w:t>
      </w:r>
    </w:p>
    <w:p w:rsidR="00051733" w:rsidRDefault="00051733" w:rsidP="00051733">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72A69" w:rsidRDefault="00272A69"/>
    <w:p w:rsidR="00272A69" w:rsidRDefault="00272A69">
      <w:r>
        <w:t>I am representing an:</w:t>
      </w:r>
    </w:p>
    <w:p w:rsidR="005938D0" w:rsidRDefault="00FA1AC9">
      <w:sdt>
        <w:sdtPr>
          <w:id w:val="-831368365"/>
          <w14:checkbox>
            <w14:checked w14:val="0"/>
            <w14:checkedState w14:val="2612" w14:font="MS Gothic"/>
            <w14:uncheckedState w14:val="2610" w14:font="MS Gothic"/>
          </w14:checkbox>
        </w:sdtPr>
        <w:sdtEndPr/>
        <w:sdtContent>
          <w:r w:rsidR="00272A69">
            <w:rPr>
              <w:rFonts w:ascii="MS Gothic" w:eastAsia="MS Gothic" w:hAnsi="MS Gothic" w:hint="eastAsia"/>
            </w:rPr>
            <w:t>☐</w:t>
          </w:r>
        </w:sdtContent>
      </w:sdt>
      <w:r w:rsidR="00272A69">
        <w:t xml:space="preserve"> Individual</w:t>
      </w:r>
      <w:r w:rsidR="009B0C0F">
        <w:t xml:space="preserve"> </w:t>
      </w:r>
    </w:p>
    <w:p w:rsidR="005938D0" w:rsidRDefault="00FA1AC9" w:rsidP="005938D0">
      <w:sdt>
        <w:sdtPr>
          <w:id w:val="894087825"/>
          <w14:checkbox>
            <w14:checked w14:val="0"/>
            <w14:checkedState w14:val="2612" w14:font="MS Gothic"/>
            <w14:uncheckedState w14:val="2610" w14:font="MS Gothic"/>
          </w14:checkbox>
        </w:sdtPr>
        <w:sdtEndPr/>
        <w:sdtContent>
          <w:r w:rsidR="005938D0">
            <w:rPr>
              <w:rFonts w:ascii="MS Gothic" w:eastAsia="MS Gothic" w:hAnsi="MS Gothic" w:hint="eastAsia"/>
            </w:rPr>
            <w:t>☐</w:t>
          </w:r>
        </w:sdtContent>
      </w:sdt>
      <w:r w:rsidR="005938D0">
        <w:t xml:space="preserve"> Manufacturers/Importers/Suppliers of measuring instruments for trade</w:t>
      </w:r>
    </w:p>
    <w:p w:rsidR="00272A69" w:rsidRDefault="00FA1AC9">
      <w:sdt>
        <w:sdtPr>
          <w:id w:val="-470447125"/>
          <w14:checkbox>
            <w14:checked w14:val="0"/>
            <w14:checkedState w14:val="2612" w14:font="MS Gothic"/>
            <w14:uncheckedState w14:val="2610" w14:font="MS Gothic"/>
          </w14:checkbox>
        </w:sdtPr>
        <w:sdtEndPr/>
        <w:sdtContent>
          <w:r w:rsidR="00272A69">
            <w:rPr>
              <w:rFonts w:ascii="MS Gothic" w:eastAsia="MS Gothic" w:hAnsi="MS Gothic" w:hint="eastAsia"/>
            </w:rPr>
            <w:t>☐</w:t>
          </w:r>
        </w:sdtContent>
      </w:sdt>
      <w:r w:rsidR="00272A69">
        <w:t xml:space="preserve"> Servicing licensee (verifier)</w:t>
      </w:r>
      <w:r w:rsidR="009B0C0F">
        <w:t xml:space="preserve"> </w:t>
      </w:r>
    </w:p>
    <w:p w:rsidR="00D53886" w:rsidRDefault="00FA1AC9">
      <w:sdt>
        <w:sdtPr>
          <w:id w:val="1844115593"/>
          <w14:checkbox>
            <w14:checked w14:val="0"/>
            <w14:checkedState w14:val="2612" w14:font="MS Gothic"/>
            <w14:uncheckedState w14:val="2610" w14:font="MS Gothic"/>
          </w14:checkbox>
        </w:sdtPr>
        <w:sdtEndPr/>
        <w:sdtContent>
          <w:r w:rsidR="00D53886">
            <w:rPr>
              <w:rFonts w:ascii="MS Gothic" w:eastAsia="MS Gothic" w:hAnsi="MS Gothic" w:hint="eastAsia"/>
            </w:rPr>
            <w:t>☐</w:t>
          </w:r>
        </w:sdtContent>
      </w:sdt>
      <w:r w:rsidR="00D53886">
        <w:t xml:space="preserve"> </w:t>
      </w:r>
      <w:r w:rsidR="008F3FB9">
        <w:t>L</w:t>
      </w:r>
      <w:r w:rsidR="00D53886">
        <w:t xml:space="preserve">aboratory appointed by NMI to performed verification and/or certification </w:t>
      </w:r>
      <w:r w:rsidR="008F3FB9">
        <w:t>activities</w:t>
      </w:r>
    </w:p>
    <w:p w:rsidR="00272A69" w:rsidRDefault="00FA1AC9">
      <w:sdt>
        <w:sdtPr>
          <w:id w:val="444503507"/>
          <w14:checkbox>
            <w14:checked w14:val="0"/>
            <w14:checkedState w14:val="2612" w14:font="MS Gothic"/>
            <w14:uncheckedState w14:val="2610" w14:font="MS Gothic"/>
          </w14:checkbox>
        </w:sdtPr>
        <w:sdtEndPr/>
        <w:sdtContent>
          <w:r w:rsidR="00272A69">
            <w:rPr>
              <w:rFonts w:ascii="MS Gothic" w:eastAsia="MS Gothic" w:hAnsi="MS Gothic" w:hint="eastAsia"/>
            </w:rPr>
            <w:t>☐</w:t>
          </w:r>
        </w:sdtContent>
      </w:sdt>
      <w:r w:rsidR="00272A69">
        <w:t xml:space="preserve"> Business that uses measuring instruments for trade</w:t>
      </w:r>
      <w:r w:rsidR="009B0C0F">
        <w:t xml:space="preserve"> </w:t>
      </w:r>
    </w:p>
    <w:p w:rsidR="00272A69" w:rsidRDefault="00FA1AC9">
      <w:sdt>
        <w:sdtPr>
          <w:id w:val="-274099117"/>
          <w14:checkbox>
            <w14:checked w14:val="0"/>
            <w14:checkedState w14:val="2612" w14:font="MS Gothic"/>
            <w14:uncheckedState w14:val="2610" w14:font="MS Gothic"/>
          </w14:checkbox>
        </w:sdtPr>
        <w:sdtEndPr/>
        <w:sdtContent>
          <w:r w:rsidR="00272A69">
            <w:rPr>
              <w:rFonts w:ascii="MS Gothic" w:eastAsia="MS Gothic" w:hAnsi="MS Gothic" w:hint="eastAsia"/>
            </w:rPr>
            <w:t>☐</w:t>
          </w:r>
        </w:sdtContent>
      </w:sdt>
      <w:r w:rsidR="00272A69">
        <w:t xml:space="preserve"> Government department / agency</w:t>
      </w:r>
      <w:r w:rsidR="009B0C0F">
        <w:t xml:space="preserve"> </w:t>
      </w:r>
    </w:p>
    <w:p w:rsidR="00272A69" w:rsidRDefault="00272A69"/>
    <w:p w:rsidR="00272A69" w:rsidRDefault="00041DF6" w:rsidP="00106EF0">
      <w:pPr>
        <w:spacing w:after="0"/>
      </w:pPr>
      <w:r>
        <w:t>Number of</w:t>
      </w:r>
      <w:r w:rsidR="00106EF0">
        <w:t xml:space="preserve"> Employees:</w:t>
      </w:r>
    </w:p>
    <w:p w:rsidR="00106EF0" w:rsidRDefault="005938D0" w:rsidP="00106EF0">
      <w:pPr>
        <w:spacing w:after="0"/>
      </w:pPr>
      <w:r>
        <w:t>(For business only)</w:t>
      </w:r>
    </w:p>
    <w:p w:rsidR="005938D0" w:rsidRDefault="005938D0" w:rsidP="00106EF0">
      <w:pPr>
        <w:spacing w:after="0"/>
      </w:pPr>
    </w:p>
    <w:p w:rsidR="00041DF6" w:rsidRDefault="00FA1AC9" w:rsidP="00041DF6">
      <w:sdt>
        <w:sdtPr>
          <w:id w:val="-321204287"/>
          <w14:checkbox>
            <w14:checked w14:val="0"/>
            <w14:checkedState w14:val="2612" w14:font="MS Gothic"/>
            <w14:uncheckedState w14:val="2610" w14:font="MS Gothic"/>
          </w14:checkbox>
        </w:sdtPr>
        <w:sdtEndPr/>
        <w:sdtContent>
          <w:r w:rsidR="00041DF6">
            <w:rPr>
              <w:rFonts w:ascii="MS Gothic" w:eastAsia="MS Gothic" w:hAnsi="MS Gothic" w:hint="eastAsia"/>
            </w:rPr>
            <w:t>☐</w:t>
          </w:r>
        </w:sdtContent>
      </w:sdt>
      <w:r w:rsidR="00041DF6">
        <w:t xml:space="preserve"> Non-employing business</w:t>
      </w:r>
    </w:p>
    <w:p w:rsidR="00041DF6" w:rsidRDefault="00FA1AC9" w:rsidP="00041DF6">
      <w:sdt>
        <w:sdtPr>
          <w:id w:val="2127120428"/>
          <w14:checkbox>
            <w14:checked w14:val="0"/>
            <w14:checkedState w14:val="2612" w14:font="MS Gothic"/>
            <w14:uncheckedState w14:val="2610" w14:font="MS Gothic"/>
          </w14:checkbox>
        </w:sdtPr>
        <w:sdtEndPr/>
        <w:sdtContent>
          <w:r w:rsidR="00041DF6">
            <w:rPr>
              <w:rFonts w:ascii="MS Gothic" w:eastAsia="MS Gothic" w:hAnsi="MS Gothic" w:hint="eastAsia"/>
            </w:rPr>
            <w:t>☐</w:t>
          </w:r>
        </w:sdtContent>
      </w:sdt>
      <w:r w:rsidR="00041DF6">
        <w:t xml:space="preserve"> 1-20</w:t>
      </w:r>
    </w:p>
    <w:p w:rsidR="00041DF6" w:rsidRDefault="00FA1AC9" w:rsidP="00041DF6">
      <w:sdt>
        <w:sdtPr>
          <w:id w:val="256264840"/>
          <w14:checkbox>
            <w14:checked w14:val="0"/>
            <w14:checkedState w14:val="2612" w14:font="MS Gothic"/>
            <w14:uncheckedState w14:val="2610" w14:font="MS Gothic"/>
          </w14:checkbox>
        </w:sdtPr>
        <w:sdtEndPr/>
        <w:sdtContent>
          <w:r w:rsidR="00041DF6">
            <w:rPr>
              <w:rFonts w:ascii="MS Gothic" w:eastAsia="MS Gothic" w:hAnsi="MS Gothic" w:hint="eastAsia"/>
            </w:rPr>
            <w:t>☐</w:t>
          </w:r>
        </w:sdtContent>
      </w:sdt>
      <w:r w:rsidR="00041DF6">
        <w:t xml:space="preserve"> 21-200</w:t>
      </w:r>
    </w:p>
    <w:p w:rsidR="00041DF6" w:rsidRDefault="00FA1AC9" w:rsidP="00041DF6">
      <w:sdt>
        <w:sdtPr>
          <w:id w:val="-2006577465"/>
          <w14:checkbox>
            <w14:checked w14:val="0"/>
            <w14:checkedState w14:val="2612" w14:font="MS Gothic"/>
            <w14:uncheckedState w14:val="2610" w14:font="MS Gothic"/>
          </w14:checkbox>
        </w:sdtPr>
        <w:sdtEndPr/>
        <w:sdtContent>
          <w:r w:rsidR="00041DF6">
            <w:rPr>
              <w:rFonts w:ascii="MS Gothic" w:eastAsia="MS Gothic" w:hAnsi="MS Gothic" w:hint="eastAsia"/>
            </w:rPr>
            <w:t>☐</w:t>
          </w:r>
        </w:sdtContent>
      </w:sdt>
      <w:r w:rsidR="00041DF6">
        <w:t xml:space="preserve"> 201+</w:t>
      </w:r>
    </w:p>
    <w:p w:rsidR="00041DF6" w:rsidRDefault="00041DF6" w:rsidP="00041DF6"/>
    <w:p w:rsidR="003E00E8" w:rsidRDefault="003E00E8" w:rsidP="00041DF6"/>
    <w:p w:rsidR="003E00E8" w:rsidRDefault="003E00E8" w:rsidP="00106EF0">
      <w:pPr>
        <w:spacing w:after="0"/>
        <w:sectPr w:rsidR="003E00E8" w:rsidSect="004F4A69">
          <w:headerReference w:type="default" r:id="rId11"/>
          <w:pgSz w:w="11906" w:h="16838"/>
          <w:pgMar w:top="1440" w:right="1440" w:bottom="1440" w:left="1440" w:header="2694" w:footer="708" w:gutter="0"/>
          <w:cols w:space="708"/>
          <w:titlePg/>
          <w:docGrid w:linePitch="360"/>
        </w:sectPr>
      </w:pPr>
    </w:p>
    <w:p w:rsidR="00106EF0" w:rsidRDefault="00106EF0" w:rsidP="00106EF0">
      <w:pPr>
        <w:spacing w:after="0"/>
      </w:pPr>
      <w:r>
        <w:lastRenderedPageBreak/>
        <w:t>Jurisdiction:</w:t>
      </w:r>
    </w:p>
    <w:p w:rsidR="00106EF0" w:rsidRDefault="00106EF0" w:rsidP="00106EF0">
      <w:pPr>
        <w:spacing w:after="0"/>
        <w:rPr>
          <w:color w:val="C0504D" w:themeColor="accent2"/>
        </w:rPr>
      </w:pPr>
      <w:r w:rsidRPr="00106EF0">
        <w:rPr>
          <w:color w:val="C0504D" w:themeColor="accent2"/>
        </w:rPr>
        <w:t>(Government departments and agencies only)</w:t>
      </w:r>
    </w:p>
    <w:p w:rsidR="00106EF0" w:rsidRPr="00106EF0" w:rsidRDefault="00106EF0" w:rsidP="00106EF0">
      <w:pPr>
        <w:spacing w:after="0"/>
        <w:rPr>
          <w:color w:val="C0504D" w:themeColor="accent2"/>
        </w:rPr>
      </w:pPr>
    </w:p>
    <w:p w:rsidR="00106EF0" w:rsidRDefault="00FA1AC9" w:rsidP="00106EF0">
      <w:sdt>
        <w:sdtPr>
          <w:id w:val="830793762"/>
          <w14:checkbox>
            <w14:checked w14:val="0"/>
            <w14:checkedState w14:val="2612" w14:font="MS Gothic"/>
            <w14:uncheckedState w14:val="2610" w14:font="MS Gothic"/>
          </w14:checkbox>
        </w:sdtPr>
        <w:sdtEndPr/>
        <w:sdtContent>
          <w:r w:rsidR="00106EF0">
            <w:rPr>
              <w:rFonts w:ascii="MS Gothic" w:eastAsia="MS Gothic" w:hAnsi="MS Gothic" w:hint="eastAsia"/>
            </w:rPr>
            <w:t>☐</w:t>
          </w:r>
        </w:sdtContent>
      </w:sdt>
      <w:r w:rsidR="00106EF0">
        <w:t xml:space="preserve"> Commonwealth</w:t>
      </w:r>
    </w:p>
    <w:p w:rsidR="00106EF0" w:rsidRDefault="00FA1AC9" w:rsidP="00106EF0">
      <w:sdt>
        <w:sdtPr>
          <w:id w:val="-672493323"/>
          <w14:checkbox>
            <w14:checked w14:val="0"/>
            <w14:checkedState w14:val="2612" w14:font="MS Gothic"/>
            <w14:uncheckedState w14:val="2610" w14:font="MS Gothic"/>
          </w14:checkbox>
        </w:sdtPr>
        <w:sdtEndPr/>
        <w:sdtContent>
          <w:r w:rsidR="00106EF0">
            <w:rPr>
              <w:rFonts w:ascii="MS Gothic" w:eastAsia="MS Gothic" w:hAnsi="MS Gothic" w:hint="eastAsia"/>
            </w:rPr>
            <w:t>☐</w:t>
          </w:r>
        </w:sdtContent>
      </w:sdt>
      <w:r w:rsidR="00106EF0">
        <w:t xml:space="preserve"> State</w:t>
      </w:r>
    </w:p>
    <w:p w:rsidR="00106EF0" w:rsidRDefault="00FA1AC9" w:rsidP="00106EF0">
      <w:sdt>
        <w:sdtPr>
          <w:id w:val="1919125501"/>
          <w14:checkbox>
            <w14:checked w14:val="0"/>
            <w14:checkedState w14:val="2612" w14:font="MS Gothic"/>
            <w14:uncheckedState w14:val="2610" w14:font="MS Gothic"/>
          </w14:checkbox>
        </w:sdtPr>
        <w:sdtEndPr/>
        <w:sdtContent>
          <w:r w:rsidR="00106EF0">
            <w:rPr>
              <w:rFonts w:ascii="MS Gothic" w:eastAsia="MS Gothic" w:hAnsi="MS Gothic" w:hint="eastAsia"/>
            </w:rPr>
            <w:t>☐</w:t>
          </w:r>
        </w:sdtContent>
      </w:sdt>
      <w:r w:rsidR="00106EF0">
        <w:t xml:space="preserve"> Territory</w:t>
      </w:r>
    </w:p>
    <w:p w:rsidR="002D2310" w:rsidRPr="00843F3A" w:rsidRDefault="002D2310" w:rsidP="00106EF0"/>
    <w:p w:rsidR="002D2310" w:rsidRDefault="00FA1AC9" w:rsidP="002D2310">
      <w:sdt>
        <w:sdtPr>
          <w:id w:val="1223177569"/>
          <w14:checkbox>
            <w14:checked w14:val="0"/>
            <w14:checkedState w14:val="2612" w14:font="MS Gothic"/>
            <w14:uncheckedState w14:val="2610" w14:font="MS Gothic"/>
          </w14:checkbox>
        </w:sdtPr>
        <w:sdtEndPr/>
        <w:sdtContent>
          <w:r w:rsidR="002D2310">
            <w:rPr>
              <w:rFonts w:ascii="MS Gothic" w:eastAsia="MS Gothic" w:hAnsi="MS Gothic" w:hint="eastAsia"/>
            </w:rPr>
            <w:t>☐</w:t>
          </w:r>
        </w:sdtContent>
      </w:sdt>
      <w:r w:rsidR="002D2310">
        <w:t xml:space="preserve"> Confidential Submission (Please check the box if you want to make a confidential submission)</w:t>
      </w:r>
    </w:p>
    <w:p w:rsidR="00843F3A" w:rsidRDefault="00843F3A" w:rsidP="00106EF0"/>
    <w:p w:rsidR="00843F3A" w:rsidRDefault="00843F3A">
      <w:r>
        <w:br w:type="page"/>
      </w:r>
    </w:p>
    <w:p w:rsidR="003E00E8" w:rsidRDefault="003E00E8" w:rsidP="007750A9">
      <w:pPr>
        <w:pStyle w:val="Heading1-nonumber"/>
        <w:sectPr w:rsidR="003E00E8" w:rsidSect="00231552">
          <w:pgSz w:w="11906" w:h="16838"/>
          <w:pgMar w:top="1440" w:right="1440" w:bottom="1440" w:left="1440" w:header="1134" w:footer="708" w:gutter="0"/>
          <w:cols w:space="708"/>
          <w:titlePg/>
          <w:docGrid w:linePitch="360"/>
        </w:sectPr>
      </w:pPr>
    </w:p>
    <w:p w:rsidR="009B0C0F" w:rsidRPr="009B0C0F" w:rsidRDefault="00B040E7" w:rsidP="009B0C0F">
      <w:pPr>
        <w:pStyle w:val="Heading1-nonumber"/>
      </w:pPr>
      <w:r>
        <w:lastRenderedPageBreak/>
        <w:t>Consultation on Draft CoST RECovery Implementation Statement 2018-2019</w:t>
      </w:r>
      <w:r w:rsidR="00833021">
        <w:t xml:space="preserve"> –</w:t>
      </w:r>
      <w:r>
        <w:t>Key Information</w:t>
      </w:r>
    </w:p>
    <w:p w:rsidR="00B040E7" w:rsidRPr="00B040E7" w:rsidRDefault="00B040E7" w:rsidP="00B040E7">
      <w:pPr>
        <w:spacing w:after="0" w:line="240" w:lineRule="auto"/>
        <w:rPr>
          <w:rFonts w:ascii="Arial" w:eastAsia="Times New Roman" w:hAnsi="Arial" w:cs="Arial"/>
          <w:b/>
          <w:sz w:val="36"/>
          <w:szCs w:val="36"/>
        </w:rPr>
      </w:pPr>
    </w:p>
    <w:tbl>
      <w:tblPr>
        <w:tblStyle w:val="TableGrid"/>
        <w:tblW w:w="0" w:type="auto"/>
        <w:tblLook w:val="04A0" w:firstRow="1" w:lastRow="0" w:firstColumn="1" w:lastColumn="0" w:noHBand="0" w:noVBand="1"/>
      </w:tblPr>
      <w:tblGrid>
        <w:gridCol w:w="9016"/>
      </w:tblGrid>
      <w:tr w:rsidR="00B040E7" w:rsidRPr="00B040E7" w:rsidTr="00B040E7">
        <w:tc>
          <w:tcPr>
            <w:tcW w:w="9016" w:type="dxa"/>
            <w:shd w:val="clear" w:color="auto" w:fill="E5B8B7"/>
          </w:tcPr>
          <w:p w:rsidR="00B040E7" w:rsidRPr="00B040E7" w:rsidRDefault="00B040E7" w:rsidP="00B040E7">
            <w:pPr>
              <w:spacing w:before="120" w:after="120"/>
              <w:jc w:val="center"/>
              <w:rPr>
                <w:rFonts w:ascii="Calibri" w:hAnsi="Calibri"/>
                <w:sz w:val="20"/>
                <w:szCs w:val="24"/>
              </w:rPr>
            </w:pPr>
            <w:r w:rsidRPr="00B040E7">
              <w:rPr>
                <w:rFonts w:ascii="Calibri" w:hAnsi="Calibri"/>
                <w:sz w:val="20"/>
                <w:szCs w:val="24"/>
              </w:rPr>
              <w:br w:type="page"/>
            </w:r>
            <w:r w:rsidRPr="00B040E7">
              <w:rPr>
                <w:rFonts w:ascii="Arial" w:hAnsi="Arial" w:cs="Arial"/>
                <w:sz w:val="20"/>
                <w:shd w:val="clear" w:color="auto" w:fill="E5B8B7"/>
              </w:rPr>
              <w:t xml:space="preserve"> The Australian Government Charging Framework, which includes the Cost Recovery Guidelines, sets out the overarching framework under which government entities design, implement and review cost recovered activities. Cost recovery involves government entities charging individuals or non</w:t>
            </w:r>
            <w:r w:rsidRPr="00B040E7">
              <w:rPr>
                <w:rFonts w:ascii="Cambria Math" w:hAnsi="Cambria Math" w:cs="Cambria Math"/>
                <w:sz w:val="20"/>
                <w:shd w:val="clear" w:color="auto" w:fill="E5B8B7"/>
              </w:rPr>
              <w:t>‐</w:t>
            </w:r>
            <w:r w:rsidRPr="00B040E7">
              <w:rPr>
                <w:rFonts w:ascii="Arial" w:hAnsi="Arial" w:cs="Arial"/>
                <w:sz w:val="20"/>
                <w:shd w:val="clear" w:color="auto" w:fill="E5B8B7"/>
              </w:rPr>
              <w:t>government organisations some or all of the efficient costs of a specific government activity. This may include goods, services, or regulation, or a combination of these.</w:t>
            </w:r>
          </w:p>
        </w:tc>
      </w:tr>
    </w:tbl>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tbl>
      <w:tblPr>
        <w:tblStyle w:val="TableGrid"/>
        <w:tblW w:w="0" w:type="auto"/>
        <w:tblLook w:val="04A0" w:firstRow="1" w:lastRow="0" w:firstColumn="1" w:lastColumn="0" w:noHBand="0" w:noVBand="1"/>
      </w:tblPr>
      <w:tblGrid>
        <w:gridCol w:w="9016"/>
      </w:tblGrid>
      <w:tr w:rsidR="00B040E7" w:rsidRPr="00B040E7" w:rsidTr="00E32CF2">
        <w:tc>
          <w:tcPr>
            <w:tcW w:w="9346" w:type="dxa"/>
            <w:shd w:val="clear" w:color="auto" w:fill="E5B8B7"/>
          </w:tcPr>
          <w:p w:rsidR="00B040E7" w:rsidRPr="00B040E7" w:rsidRDefault="00B040E7" w:rsidP="00B040E7">
            <w:pPr>
              <w:spacing w:before="120" w:after="120"/>
              <w:rPr>
                <w:rFonts w:ascii="Arial" w:hAnsi="Arial" w:cs="Arial"/>
                <w:sz w:val="20"/>
                <w:u w:val="single"/>
              </w:rPr>
            </w:pPr>
            <w:r w:rsidRPr="00B040E7">
              <w:rPr>
                <w:rFonts w:ascii="Arial" w:hAnsi="Arial" w:cs="Arial"/>
                <w:sz w:val="20"/>
                <w:shd w:val="clear" w:color="auto" w:fill="E5B8B7"/>
              </w:rPr>
              <w:t>This consultation draft seeks feedback from interested stakeholders to inform the government’s decision to refresh authority to recover costs for services associated with the delivery of regulatory functions by the NMI under the National Measurement Act 1960 (the Act).</w:t>
            </w:r>
          </w:p>
        </w:tc>
      </w:tr>
    </w:tbl>
    <w:p w:rsidR="00B040E7" w:rsidRDefault="00B040E7" w:rsidP="00B040E7">
      <w:pPr>
        <w:autoSpaceDE w:val="0"/>
        <w:autoSpaceDN w:val="0"/>
        <w:adjustRightInd w:val="0"/>
        <w:spacing w:before="120" w:after="0" w:line="240" w:lineRule="auto"/>
        <w:rPr>
          <w:rFonts w:ascii="Arial" w:eastAsia="Calibri" w:hAnsi="Arial" w:cs="Arial"/>
          <w:color w:val="000000"/>
          <w:sz w:val="20"/>
          <w:szCs w:val="20"/>
          <w:lang w:val="en"/>
        </w:rPr>
      </w:pPr>
    </w:p>
    <w:p w:rsidR="002D2310" w:rsidRPr="00B040E7" w:rsidRDefault="002D2310" w:rsidP="00B040E7">
      <w:pPr>
        <w:autoSpaceDE w:val="0"/>
        <w:autoSpaceDN w:val="0"/>
        <w:adjustRightInd w:val="0"/>
        <w:spacing w:before="120" w:after="0" w:line="240" w:lineRule="auto"/>
        <w:rPr>
          <w:rFonts w:ascii="Arial" w:eastAsia="Calibri" w:hAnsi="Arial" w:cs="Arial"/>
          <w:color w:val="000000"/>
          <w:sz w:val="20"/>
          <w:szCs w:val="20"/>
          <w:lang w:val="en"/>
        </w:rPr>
      </w:pPr>
    </w:p>
    <w:tbl>
      <w:tblPr>
        <w:tblStyle w:val="TableGrid1"/>
        <w:tblpPr w:leftFromText="180" w:rightFromText="180" w:vertAnchor="text" w:horzAnchor="margin" w:tblpY="245"/>
        <w:tblW w:w="0" w:type="auto"/>
        <w:shd w:val="clear" w:color="auto" w:fill="95B3D7"/>
        <w:tblLook w:val="04A0" w:firstRow="1" w:lastRow="0" w:firstColumn="1" w:lastColumn="0" w:noHBand="0" w:noVBand="1"/>
      </w:tblPr>
      <w:tblGrid>
        <w:gridCol w:w="8920"/>
      </w:tblGrid>
      <w:tr w:rsidR="00B040E7" w:rsidRPr="00B040E7" w:rsidTr="00B040E7">
        <w:tc>
          <w:tcPr>
            <w:tcW w:w="8920" w:type="dxa"/>
            <w:shd w:val="clear" w:color="auto" w:fill="E5B8B7"/>
          </w:tcPr>
          <w:p w:rsidR="00B040E7" w:rsidRPr="00B040E7" w:rsidRDefault="00B040E7" w:rsidP="00B040E7">
            <w:pPr>
              <w:keepNext/>
              <w:autoSpaceDE w:val="0"/>
              <w:autoSpaceDN w:val="0"/>
              <w:adjustRightInd w:val="0"/>
              <w:spacing w:before="120" w:after="120"/>
              <w:rPr>
                <w:rFonts w:ascii="Arial" w:hAnsi="Arial" w:cs="Arial"/>
                <w:color w:val="000000"/>
                <w:sz w:val="20"/>
                <w:lang w:val="en"/>
              </w:rPr>
            </w:pPr>
            <w:r w:rsidRPr="00B040E7">
              <w:rPr>
                <w:rFonts w:ascii="Arial" w:hAnsi="Arial" w:cs="Arial"/>
                <w:color w:val="000000"/>
                <w:sz w:val="20"/>
                <w:lang w:val="en"/>
              </w:rPr>
              <w:t xml:space="preserve">The Government is seeking to engage and understand from stakeholders: </w:t>
            </w:r>
          </w:p>
          <w:p w:rsidR="00B040E7" w:rsidRPr="00B040E7" w:rsidRDefault="00B040E7" w:rsidP="00B040E7">
            <w:pPr>
              <w:numPr>
                <w:ilvl w:val="0"/>
                <w:numId w:val="5"/>
              </w:numPr>
              <w:autoSpaceDE w:val="0"/>
              <w:autoSpaceDN w:val="0"/>
              <w:adjustRightInd w:val="0"/>
              <w:spacing w:before="120" w:after="120"/>
              <w:rPr>
                <w:rFonts w:ascii="Arial" w:hAnsi="Arial" w:cs="Arial"/>
                <w:color w:val="000000"/>
                <w:sz w:val="20"/>
                <w:lang w:val="en"/>
              </w:rPr>
            </w:pPr>
            <w:r w:rsidRPr="00B040E7">
              <w:rPr>
                <w:rFonts w:ascii="Arial" w:hAnsi="Arial" w:cs="Arial"/>
                <w:color w:val="000000"/>
                <w:sz w:val="20"/>
                <w:lang w:val="en"/>
              </w:rPr>
              <w:t>how to ensure Australia’s measurement system is financially sustainable, while at the same time facilitating innovation and reducing regulatory burden,</w:t>
            </w:r>
          </w:p>
          <w:p w:rsidR="00B040E7" w:rsidRPr="00B040E7" w:rsidRDefault="00B040E7" w:rsidP="00B040E7">
            <w:pPr>
              <w:numPr>
                <w:ilvl w:val="0"/>
                <w:numId w:val="5"/>
              </w:numPr>
              <w:autoSpaceDE w:val="0"/>
              <w:autoSpaceDN w:val="0"/>
              <w:adjustRightInd w:val="0"/>
              <w:spacing w:before="120" w:after="120"/>
              <w:rPr>
                <w:rFonts w:ascii="Arial" w:hAnsi="Arial" w:cs="Arial"/>
                <w:color w:val="000000"/>
                <w:sz w:val="20"/>
                <w:lang w:val="en"/>
              </w:rPr>
            </w:pPr>
            <w:proofErr w:type="gramStart"/>
            <w:r w:rsidRPr="00B040E7">
              <w:rPr>
                <w:rFonts w:ascii="Arial" w:hAnsi="Arial" w:cs="Arial"/>
                <w:color w:val="000000"/>
                <w:sz w:val="20"/>
                <w:lang w:val="en"/>
              </w:rPr>
              <w:t>how</w:t>
            </w:r>
            <w:proofErr w:type="gramEnd"/>
            <w:r w:rsidRPr="00B040E7">
              <w:rPr>
                <w:rFonts w:ascii="Arial" w:hAnsi="Arial" w:cs="Arial"/>
                <w:color w:val="000000"/>
                <w:sz w:val="20"/>
                <w:lang w:val="en"/>
              </w:rPr>
              <w:t xml:space="preserve"> the cost recovery model for regulatory services delivered by the NMI may affect stakeholder decisions to take up these services and participate in the measurement system.</w:t>
            </w:r>
          </w:p>
        </w:tc>
      </w:tr>
    </w:tbl>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tbl>
      <w:tblPr>
        <w:tblStyle w:val="TableGrid2"/>
        <w:tblW w:w="9204" w:type="dxa"/>
        <w:tblLook w:val="04A0" w:firstRow="1" w:lastRow="0" w:firstColumn="1" w:lastColumn="0" w:noHBand="0" w:noVBand="1"/>
      </w:tblPr>
      <w:tblGrid>
        <w:gridCol w:w="9204"/>
      </w:tblGrid>
      <w:tr w:rsidR="00B040E7" w:rsidRPr="00B040E7" w:rsidTr="00B040E7">
        <w:trPr>
          <w:trHeight w:val="3233"/>
        </w:trPr>
        <w:tc>
          <w:tcPr>
            <w:tcW w:w="9204" w:type="dxa"/>
            <w:shd w:val="clear" w:color="auto" w:fill="E5B8B7"/>
          </w:tcPr>
          <w:p w:rsidR="00B040E7" w:rsidRPr="00B040E7" w:rsidRDefault="00B040E7" w:rsidP="00B040E7">
            <w:pPr>
              <w:spacing w:before="120"/>
              <w:rPr>
                <w:rFonts w:ascii="Arial" w:hAnsi="Arial" w:cs="Arial"/>
                <w:sz w:val="20"/>
              </w:rPr>
            </w:pPr>
            <w:r w:rsidRPr="00B040E7">
              <w:rPr>
                <w:rFonts w:ascii="Arial" w:hAnsi="Arial" w:cs="Arial"/>
                <w:sz w:val="20"/>
              </w:rPr>
              <w:t>The charges currently imposed by NMI for pattern approval, trade measurement licensing and legal metrology appointments are significantly outweighed by the costs incurred in their administration.</w:t>
            </w:r>
          </w:p>
          <w:p w:rsidR="00B040E7" w:rsidRPr="00B040E7" w:rsidRDefault="00B040E7" w:rsidP="00B040E7">
            <w:pPr>
              <w:spacing w:before="120"/>
              <w:rPr>
                <w:rFonts w:ascii="Arial" w:hAnsi="Arial" w:cs="Arial"/>
                <w:sz w:val="20"/>
              </w:rPr>
            </w:pPr>
            <w:r w:rsidRPr="00B040E7">
              <w:rPr>
                <w:rFonts w:ascii="Arial" w:hAnsi="Arial" w:cs="Arial"/>
                <w:b/>
                <w:sz w:val="20"/>
              </w:rPr>
              <w:t>Table 1</w:t>
            </w:r>
            <w:r w:rsidRPr="00B040E7">
              <w:rPr>
                <w:rFonts w:ascii="Arial" w:hAnsi="Arial" w:cs="Arial"/>
                <w:sz w:val="20"/>
              </w:rPr>
              <w:t>: Forecast revenue and expenses for 2017–18</w:t>
            </w:r>
          </w:p>
          <w:tbl>
            <w:tblPr>
              <w:tblStyle w:val="TableGrid2"/>
              <w:tblW w:w="8926" w:type="dxa"/>
              <w:tblLook w:val="04A0" w:firstRow="1" w:lastRow="0" w:firstColumn="1" w:lastColumn="0" w:noHBand="0" w:noVBand="1"/>
            </w:tblPr>
            <w:tblGrid>
              <w:gridCol w:w="2336"/>
              <w:gridCol w:w="1912"/>
              <w:gridCol w:w="2268"/>
              <w:gridCol w:w="2410"/>
            </w:tblGrid>
            <w:tr w:rsidR="00B040E7" w:rsidRPr="00B040E7" w:rsidTr="00E32CF2">
              <w:tc>
                <w:tcPr>
                  <w:tcW w:w="2336" w:type="dxa"/>
                  <w:shd w:val="clear" w:color="auto" w:fill="C00000"/>
                </w:tcPr>
                <w:p w:rsidR="00B040E7" w:rsidRPr="00B040E7" w:rsidRDefault="00B040E7" w:rsidP="00B040E7">
                  <w:pPr>
                    <w:spacing w:before="120"/>
                    <w:rPr>
                      <w:rFonts w:ascii="Arial" w:hAnsi="Arial" w:cs="Arial"/>
                      <w:sz w:val="20"/>
                    </w:rPr>
                  </w:pPr>
                </w:p>
              </w:tc>
              <w:tc>
                <w:tcPr>
                  <w:tcW w:w="1912" w:type="dxa"/>
                  <w:shd w:val="clear" w:color="auto" w:fill="C00000"/>
                </w:tcPr>
                <w:p w:rsidR="00B040E7" w:rsidRPr="00B040E7" w:rsidRDefault="00B040E7" w:rsidP="00B040E7">
                  <w:pPr>
                    <w:spacing w:before="120"/>
                    <w:rPr>
                      <w:rFonts w:ascii="Arial" w:hAnsi="Arial" w:cs="Arial"/>
                      <w:b/>
                      <w:sz w:val="20"/>
                    </w:rPr>
                  </w:pPr>
                  <w:r w:rsidRPr="00B040E7">
                    <w:rPr>
                      <w:rFonts w:ascii="Arial" w:hAnsi="Arial" w:cs="Arial"/>
                      <w:b/>
                      <w:sz w:val="20"/>
                    </w:rPr>
                    <w:t>Pattern Approval</w:t>
                  </w:r>
                </w:p>
              </w:tc>
              <w:tc>
                <w:tcPr>
                  <w:tcW w:w="2268" w:type="dxa"/>
                  <w:shd w:val="clear" w:color="auto" w:fill="C00000"/>
                </w:tcPr>
                <w:p w:rsidR="00B040E7" w:rsidRPr="00B040E7" w:rsidRDefault="00B040E7" w:rsidP="00B040E7">
                  <w:pPr>
                    <w:spacing w:before="120"/>
                    <w:rPr>
                      <w:rFonts w:ascii="Arial" w:hAnsi="Arial" w:cs="Arial"/>
                      <w:b/>
                      <w:sz w:val="20"/>
                    </w:rPr>
                  </w:pPr>
                  <w:r w:rsidRPr="00B040E7">
                    <w:rPr>
                      <w:rFonts w:ascii="Arial" w:hAnsi="Arial" w:cs="Arial"/>
                      <w:b/>
                      <w:sz w:val="20"/>
                    </w:rPr>
                    <w:t>Servicing and Public Weighbridge Licensing</w:t>
                  </w:r>
                </w:p>
              </w:tc>
              <w:tc>
                <w:tcPr>
                  <w:tcW w:w="2410" w:type="dxa"/>
                  <w:shd w:val="clear" w:color="auto" w:fill="C00000"/>
                </w:tcPr>
                <w:p w:rsidR="00B040E7" w:rsidRPr="00B040E7" w:rsidRDefault="00B040E7" w:rsidP="00B040E7">
                  <w:pPr>
                    <w:spacing w:before="120"/>
                    <w:rPr>
                      <w:rFonts w:ascii="Arial" w:hAnsi="Arial" w:cs="Arial"/>
                      <w:b/>
                      <w:sz w:val="20"/>
                    </w:rPr>
                  </w:pPr>
                  <w:r w:rsidRPr="00B040E7">
                    <w:rPr>
                      <w:rFonts w:ascii="Arial" w:hAnsi="Arial" w:cs="Arial"/>
                      <w:b/>
                      <w:sz w:val="20"/>
                    </w:rPr>
                    <w:t xml:space="preserve">Legal Metrology Authority Appointments </w:t>
                  </w:r>
                </w:p>
              </w:tc>
            </w:tr>
            <w:tr w:rsidR="00B040E7" w:rsidRPr="00B040E7" w:rsidTr="00E32CF2">
              <w:tc>
                <w:tcPr>
                  <w:tcW w:w="2336" w:type="dxa"/>
                  <w:shd w:val="clear" w:color="auto" w:fill="auto"/>
                </w:tcPr>
                <w:p w:rsidR="00B040E7" w:rsidRPr="00B040E7" w:rsidRDefault="00B040E7" w:rsidP="00B040E7">
                  <w:pPr>
                    <w:spacing w:before="120"/>
                    <w:rPr>
                      <w:rFonts w:ascii="Arial" w:hAnsi="Arial" w:cs="Arial"/>
                      <w:b/>
                      <w:sz w:val="20"/>
                    </w:rPr>
                  </w:pPr>
                  <w:r w:rsidRPr="00B040E7">
                    <w:rPr>
                      <w:rFonts w:ascii="Arial" w:hAnsi="Arial" w:cs="Arial"/>
                      <w:b/>
                      <w:sz w:val="20"/>
                    </w:rPr>
                    <w:t>Revenue (X)</w:t>
                  </w:r>
                </w:p>
              </w:tc>
              <w:tc>
                <w:tcPr>
                  <w:tcW w:w="1912" w:type="dxa"/>
                  <w:shd w:val="clear" w:color="auto" w:fill="auto"/>
                </w:tcPr>
                <w:p w:rsidR="00B040E7" w:rsidRPr="00B040E7" w:rsidRDefault="00B040E7" w:rsidP="00B040E7">
                  <w:pPr>
                    <w:spacing w:before="120"/>
                    <w:rPr>
                      <w:rFonts w:ascii="Arial" w:hAnsi="Arial" w:cs="Arial"/>
                      <w:sz w:val="20"/>
                    </w:rPr>
                  </w:pPr>
                  <w:r w:rsidRPr="00B040E7">
                    <w:rPr>
                      <w:rFonts w:ascii="Arial" w:hAnsi="Arial" w:cs="Arial"/>
                      <w:sz w:val="20"/>
                    </w:rPr>
                    <w:t>$430,000</w:t>
                  </w:r>
                </w:p>
              </w:tc>
              <w:tc>
                <w:tcPr>
                  <w:tcW w:w="2268" w:type="dxa"/>
                  <w:shd w:val="clear" w:color="auto" w:fill="auto"/>
                </w:tcPr>
                <w:p w:rsidR="00B040E7" w:rsidRPr="00B040E7" w:rsidRDefault="00B040E7" w:rsidP="00B040E7">
                  <w:pPr>
                    <w:spacing w:before="120"/>
                    <w:rPr>
                      <w:rFonts w:ascii="Arial" w:hAnsi="Arial" w:cs="Arial"/>
                      <w:sz w:val="20"/>
                    </w:rPr>
                  </w:pPr>
                  <w:r w:rsidRPr="00B040E7">
                    <w:rPr>
                      <w:rFonts w:ascii="Arial" w:hAnsi="Arial" w:cs="Arial"/>
                      <w:sz w:val="20"/>
                    </w:rPr>
                    <w:t>$410,000</w:t>
                  </w:r>
                </w:p>
              </w:tc>
              <w:tc>
                <w:tcPr>
                  <w:tcW w:w="2410" w:type="dxa"/>
                  <w:shd w:val="clear" w:color="auto" w:fill="auto"/>
                </w:tcPr>
                <w:p w:rsidR="00B040E7" w:rsidRPr="00B040E7" w:rsidRDefault="00B040E7" w:rsidP="00B040E7">
                  <w:pPr>
                    <w:spacing w:before="120"/>
                    <w:rPr>
                      <w:rFonts w:ascii="Arial" w:hAnsi="Arial" w:cs="Arial"/>
                      <w:sz w:val="20"/>
                    </w:rPr>
                  </w:pPr>
                  <w:r w:rsidRPr="00B040E7">
                    <w:rPr>
                      <w:rFonts w:ascii="Arial" w:hAnsi="Arial" w:cs="Arial"/>
                      <w:sz w:val="20"/>
                    </w:rPr>
                    <w:t>$20,000</w:t>
                  </w:r>
                </w:p>
              </w:tc>
            </w:tr>
            <w:tr w:rsidR="00B040E7" w:rsidRPr="00B040E7" w:rsidTr="00E32CF2">
              <w:tc>
                <w:tcPr>
                  <w:tcW w:w="2336" w:type="dxa"/>
                  <w:shd w:val="clear" w:color="auto" w:fill="auto"/>
                </w:tcPr>
                <w:p w:rsidR="00B040E7" w:rsidRPr="00B040E7" w:rsidRDefault="00B040E7" w:rsidP="00B040E7">
                  <w:pPr>
                    <w:spacing w:before="120"/>
                    <w:rPr>
                      <w:rFonts w:ascii="Arial" w:hAnsi="Arial" w:cs="Arial"/>
                      <w:b/>
                      <w:sz w:val="20"/>
                    </w:rPr>
                  </w:pPr>
                  <w:r w:rsidRPr="00B040E7">
                    <w:rPr>
                      <w:rFonts w:ascii="Arial" w:hAnsi="Arial" w:cs="Arial"/>
                      <w:b/>
                      <w:sz w:val="20"/>
                    </w:rPr>
                    <w:t>Expenses (Y)</w:t>
                  </w:r>
                </w:p>
              </w:tc>
              <w:tc>
                <w:tcPr>
                  <w:tcW w:w="1912" w:type="dxa"/>
                  <w:shd w:val="clear" w:color="auto" w:fill="auto"/>
                </w:tcPr>
                <w:p w:rsidR="00B040E7" w:rsidRPr="00B040E7" w:rsidRDefault="00B040E7" w:rsidP="00B040E7">
                  <w:pPr>
                    <w:spacing w:before="120"/>
                    <w:rPr>
                      <w:rFonts w:ascii="Arial" w:hAnsi="Arial" w:cs="Arial"/>
                      <w:sz w:val="20"/>
                    </w:rPr>
                  </w:pPr>
                  <w:r w:rsidRPr="00B040E7">
                    <w:rPr>
                      <w:rFonts w:ascii="Arial" w:hAnsi="Arial" w:cs="Arial"/>
                      <w:sz w:val="20"/>
                    </w:rPr>
                    <w:t>$1,640,000</w:t>
                  </w:r>
                </w:p>
              </w:tc>
              <w:tc>
                <w:tcPr>
                  <w:tcW w:w="2268" w:type="dxa"/>
                  <w:shd w:val="clear" w:color="auto" w:fill="auto"/>
                </w:tcPr>
                <w:p w:rsidR="00B040E7" w:rsidRPr="00B040E7" w:rsidRDefault="00B040E7" w:rsidP="00B040E7">
                  <w:pPr>
                    <w:spacing w:before="120"/>
                    <w:rPr>
                      <w:rFonts w:ascii="Arial" w:hAnsi="Arial" w:cs="Arial"/>
                      <w:sz w:val="20"/>
                    </w:rPr>
                  </w:pPr>
                  <w:r w:rsidRPr="00B040E7">
                    <w:rPr>
                      <w:rFonts w:ascii="Arial" w:hAnsi="Arial" w:cs="Arial"/>
                      <w:sz w:val="20"/>
                    </w:rPr>
                    <w:t>$687,870</w:t>
                  </w:r>
                </w:p>
              </w:tc>
              <w:tc>
                <w:tcPr>
                  <w:tcW w:w="2410" w:type="dxa"/>
                  <w:shd w:val="clear" w:color="auto" w:fill="auto"/>
                </w:tcPr>
                <w:p w:rsidR="00B040E7" w:rsidRPr="00B040E7" w:rsidRDefault="00B040E7" w:rsidP="00B040E7">
                  <w:pPr>
                    <w:spacing w:before="120"/>
                    <w:rPr>
                      <w:rFonts w:ascii="Arial" w:hAnsi="Arial" w:cs="Arial"/>
                      <w:sz w:val="20"/>
                    </w:rPr>
                  </w:pPr>
                  <w:r w:rsidRPr="00B040E7">
                    <w:rPr>
                      <w:rFonts w:ascii="Arial" w:hAnsi="Arial" w:cs="Arial"/>
                      <w:sz w:val="20"/>
                    </w:rPr>
                    <w:t>$76,430</w:t>
                  </w:r>
                </w:p>
              </w:tc>
            </w:tr>
          </w:tbl>
          <w:p w:rsidR="00B040E7" w:rsidRPr="00B040E7" w:rsidRDefault="00B040E7" w:rsidP="00B040E7">
            <w:pPr>
              <w:spacing w:before="120"/>
              <w:rPr>
                <w:rFonts w:ascii="Arial" w:hAnsi="Arial" w:cs="Arial"/>
                <w:bCs/>
                <w:sz w:val="20"/>
              </w:rPr>
            </w:pPr>
          </w:p>
        </w:tc>
      </w:tr>
    </w:tbl>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p w:rsidR="002D2310" w:rsidRDefault="002D2310" w:rsidP="00B040E7">
      <w:pPr>
        <w:spacing w:before="120" w:after="120" w:line="240" w:lineRule="auto"/>
        <w:rPr>
          <w:rFonts w:ascii="Arial" w:eastAsia="Times New Roman" w:hAnsi="Arial" w:cs="Arial"/>
          <w:sz w:val="20"/>
          <w:szCs w:val="20"/>
          <w:u w:val="single"/>
          <w:shd w:val="clear" w:color="auto" w:fill="E5B8B7"/>
          <w:lang w:eastAsia="en-AU"/>
        </w:rPr>
      </w:pPr>
    </w:p>
    <w:tbl>
      <w:tblPr>
        <w:tblStyle w:val="TableGrid3"/>
        <w:tblpPr w:leftFromText="180" w:rightFromText="180" w:vertAnchor="text" w:horzAnchor="margin" w:tblpY="149"/>
        <w:tblW w:w="9152" w:type="dxa"/>
        <w:tblLook w:val="04A0" w:firstRow="1" w:lastRow="0" w:firstColumn="1" w:lastColumn="0" w:noHBand="0" w:noVBand="1"/>
      </w:tblPr>
      <w:tblGrid>
        <w:gridCol w:w="9152"/>
      </w:tblGrid>
      <w:tr w:rsidR="00B040E7" w:rsidRPr="00B040E7" w:rsidTr="00B040E7">
        <w:trPr>
          <w:trHeight w:val="1173"/>
        </w:trPr>
        <w:tc>
          <w:tcPr>
            <w:tcW w:w="9152" w:type="dxa"/>
            <w:shd w:val="clear" w:color="auto" w:fill="E5B8B7"/>
          </w:tcPr>
          <w:p w:rsidR="00B040E7" w:rsidRPr="00B040E7" w:rsidRDefault="00B040E7" w:rsidP="00B040E7">
            <w:pPr>
              <w:spacing w:before="120" w:after="120"/>
              <w:rPr>
                <w:rFonts w:ascii="Arial" w:hAnsi="Arial" w:cs="Arial"/>
                <w:sz w:val="20"/>
              </w:rPr>
            </w:pPr>
            <w:r w:rsidRPr="00B040E7">
              <w:rPr>
                <w:rFonts w:ascii="Arial" w:hAnsi="Arial" w:cs="Arial"/>
                <w:sz w:val="20"/>
              </w:rPr>
              <w:lastRenderedPageBreak/>
              <w:t>Cost recovery for these regulatory functions enables NMI to maintain a sustainable legal metrology infrastructure that delivers confidence in Australia’s measurement system and supports innovation.</w:t>
            </w:r>
          </w:p>
          <w:p w:rsidR="00B040E7" w:rsidRPr="00B040E7" w:rsidRDefault="00B040E7" w:rsidP="00B040E7">
            <w:pPr>
              <w:widowControl w:val="0"/>
              <w:autoSpaceDE w:val="0"/>
              <w:autoSpaceDN w:val="0"/>
              <w:adjustRightInd w:val="0"/>
              <w:spacing w:before="120"/>
              <w:rPr>
                <w:rFonts w:ascii="Arial" w:hAnsi="Arial" w:cs="Arial"/>
                <w:iCs/>
                <w:sz w:val="20"/>
              </w:rPr>
            </w:pPr>
            <w:r w:rsidRPr="00B040E7">
              <w:rPr>
                <w:rFonts w:ascii="Arial" w:hAnsi="Arial" w:cs="Arial"/>
                <w:iCs/>
                <w:sz w:val="20"/>
              </w:rPr>
              <w:t>The fees proposed in this consultation document have been developed to:</w:t>
            </w:r>
          </w:p>
          <w:p w:rsidR="00B040E7" w:rsidRPr="00B040E7" w:rsidRDefault="00B040E7" w:rsidP="00B040E7">
            <w:pPr>
              <w:widowControl w:val="0"/>
              <w:numPr>
                <w:ilvl w:val="0"/>
                <w:numId w:val="6"/>
              </w:numPr>
              <w:autoSpaceDE w:val="0"/>
              <w:autoSpaceDN w:val="0"/>
              <w:adjustRightInd w:val="0"/>
              <w:spacing w:before="120"/>
              <w:ind w:left="738" w:hanging="381"/>
              <w:rPr>
                <w:rFonts w:ascii="Arial" w:eastAsia="Calibri" w:hAnsi="Arial" w:cs="Arial"/>
                <w:iCs/>
                <w:sz w:val="20"/>
              </w:rPr>
            </w:pPr>
            <w:r w:rsidRPr="00B040E7">
              <w:rPr>
                <w:rFonts w:ascii="Arial" w:eastAsia="Calibri" w:hAnsi="Arial" w:cs="Arial"/>
                <w:iCs/>
                <w:sz w:val="20"/>
              </w:rPr>
              <w:t>promote consistent, transparent and accountable charging for government activities</w:t>
            </w:r>
          </w:p>
          <w:p w:rsidR="00B040E7" w:rsidRPr="00B040E7" w:rsidRDefault="00B040E7" w:rsidP="00B040E7">
            <w:pPr>
              <w:widowControl w:val="0"/>
              <w:numPr>
                <w:ilvl w:val="0"/>
                <w:numId w:val="6"/>
              </w:numPr>
              <w:autoSpaceDE w:val="0"/>
              <w:autoSpaceDN w:val="0"/>
              <w:adjustRightInd w:val="0"/>
              <w:spacing w:before="120"/>
              <w:ind w:left="738" w:hanging="381"/>
              <w:rPr>
                <w:rFonts w:ascii="Arial" w:eastAsia="Calibri" w:hAnsi="Arial" w:cs="Arial"/>
                <w:iCs/>
                <w:sz w:val="20"/>
              </w:rPr>
            </w:pPr>
            <w:r w:rsidRPr="00B040E7">
              <w:rPr>
                <w:rFonts w:ascii="Arial" w:eastAsia="Calibri" w:hAnsi="Arial" w:cs="Arial"/>
                <w:iCs/>
                <w:sz w:val="20"/>
              </w:rPr>
              <w:t xml:space="preserve">reduce cross subsidisation between regulatory and non-regulatory activities </w:t>
            </w:r>
          </w:p>
          <w:p w:rsidR="00B040E7" w:rsidRPr="00B040E7" w:rsidRDefault="00B040E7" w:rsidP="00B040E7">
            <w:pPr>
              <w:spacing w:before="120"/>
              <w:rPr>
                <w:rFonts w:ascii="Arial" w:hAnsi="Arial" w:cs="Arial"/>
                <w:sz w:val="20"/>
              </w:rPr>
            </w:pPr>
            <w:r w:rsidRPr="00B040E7">
              <w:rPr>
                <w:rFonts w:ascii="Arial" w:hAnsi="Arial" w:cs="Arial"/>
                <w:sz w:val="20"/>
              </w:rPr>
              <w:t>NMI is undertaking a measurement law review to ensure Australia’s measurement system is equipped for the future, and regulations are fit for purpose. The review will consider options to:</w:t>
            </w:r>
          </w:p>
          <w:p w:rsidR="00B040E7" w:rsidRPr="00B040E7" w:rsidRDefault="00B040E7" w:rsidP="00B040E7">
            <w:pPr>
              <w:numPr>
                <w:ilvl w:val="2"/>
                <w:numId w:val="7"/>
              </w:numPr>
              <w:spacing w:before="120"/>
              <w:ind w:left="738" w:hanging="425"/>
              <w:rPr>
                <w:rFonts w:ascii="Arial" w:hAnsi="Arial" w:cs="Arial"/>
                <w:sz w:val="20"/>
              </w:rPr>
            </w:pPr>
            <w:r w:rsidRPr="00B040E7">
              <w:rPr>
                <w:rFonts w:ascii="Arial" w:hAnsi="Arial" w:cs="Arial"/>
                <w:bCs/>
                <w:sz w:val="20"/>
              </w:rPr>
              <w:t>remove unnecessary regulatory burden</w:t>
            </w:r>
          </w:p>
          <w:p w:rsidR="00B040E7" w:rsidRPr="00B040E7" w:rsidRDefault="00B040E7" w:rsidP="00B040E7">
            <w:pPr>
              <w:numPr>
                <w:ilvl w:val="2"/>
                <w:numId w:val="7"/>
              </w:numPr>
              <w:spacing w:before="120"/>
              <w:ind w:left="738" w:hanging="425"/>
              <w:rPr>
                <w:rFonts w:ascii="Arial" w:hAnsi="Arial" w:cs="Arial"/>
                <w:sz w:val="20"/>
              </w:rPr>
            </w:pPr>
            <w:r w:rsidRPr="00B040E7">
              <w:rPr>
                <w:rFonts w:ascii="Arial" w:hAnsi="Arial" w:cs="Arial"/>
                <w:bCs/>
                <w:sz w:val="20"/>
              </w:rPr>
              <w:t>consolidate the legislative framework</w:t>
            </w:r>
          </w:p>
          <w:p w:rsidR="00B040E7" w:rsidRPr="00B040E7" w:rsidRDefault="00B040E7" w:rsidP="00B040E7">
            <w:pPr>
              <w:numPr>
                <w:ilvl w:val="2"/>
                <w:numId w:val="7"/>
              </w:numPr>
              <w:spacing w:before="120"/>
              <w:ind w:left="738" w:hanging="425"/>
              <w:rPr>
                <w:rFonts w:ascii="Arial" w:hAnsi="Arial" w:cs="Arial"/>
                <w:sz w:val="20"/>
              </w:rPr>
            </w:pPr>
            <w:r w:rsidRPr="00B040E7">
              <w:rPr>
                <w:rFonts w:ascii="Arial" w:hAnsi="Arial" w:cs="Arial"/>
                <w:bCs/>
                <w:sz w:val="20"/>
              </w:rPr>
              <w:t>move Australia’s measurement legislation towards a more principles-based framework</w:t>
            </w:r>
          </w:p>
          <w:p w:rsidR="00B040E7" w:rsidRPr="00B040E7" w:rsidRDefault="00B040E7" w:rsidP="00B040E7">
            <w:pPr>
              <w:spacing w:before="120" w:after="120"/>
              <w:rPr>
                <w:rFonts w:ascii="Arial" w:hAnsi="Arial" w:cs="Arial"/>
                <w:sz w:val="20"/>
              </w:rPr>
            </w:pPr>
            <w:r w:rsidRPr="00B040E7">
              <w:rPr>
                <w:rFonts w:ascii="Arial" w:hAnsi="Arial" w:cs="Arial"/>
                <w:sz w:val="20"/>
              </w:rPr>
              <w:t>This review is expected to take up to 4 years for completion, including a transition period, so the regulatory charging models in this document cover a corresponding maximum period of 4 years from 1 July 2018.</w:t>
            </w:r>
          </w:p>
        </w:tc>
      </w:tr>
    </w:tbl>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3C3DCA">
      <w:pPr>
        <w:spacing w:before="120" w:after="120" w:line="240" w:lineRule="auto"/>
        <w:jc w:val="center"/>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jc w:val="center"/>
        <w:rPr>
          <w:rFonts w:ascii="Arial" w:eastAsia="Times New Roman" w:hAnsi="Arial" w:cs="Arial"/>
          <w:sz w:val="20"/>
          <w:szCs w:val="20"/>
          <w:u w:val="single"/>
          <w:shd w:val="clear" w:color="auto" w:fill="E5B8B7"/>
          <w:lang w:eastAsia="en-AU"/>
        </w:rPr>
      </w:pPr>
    </w:p>
    <w:p w:rsidR="00B040E7" w:rsidRDefault="00B040E7" w:rsidP="00B040E7">
      <w:pPr>
        <w:spacing w:before="120" w:after="120" w:line="240" w:lineRule="auto"/>
        <w:jc w:val="center"/>
        <w:rPr>
          <w:rFonts w:ascii="Arial" w:eastAsia="Times New Roman" w:hAnsi="Arial" w:cs="Arial"/>
          <w:sz w:val="20"/>
          <w:szCs w:val="20"/>
          <w:u w:val="single"/>
          <w:shd w:val="clear" w:color="auto" w:fill="E5B8B7"/>
          <w:lang w:eastAsia="en-AU"/>
        </w:rPr>
      </w:pPr>
    </w:p>
    <w:p w:rsidR="00B040E7" w:rsidRDefault="00B040E7" w:rsidP="00041DF6">
      <w:pPr>
        <w:rPr>
          <w:szCs w:val="24"/>
        </w:rPr>
      </w:pPr>
    </w:p>
    <w:p w:rsidR="00B040E7" w:rsidRDefault="00B040E7" w:rsidP="00041DF6">
      <w:pPr>
        <w:rPr>
          <w:szCs w:val="24"/>
        </w:rPr>
      </w:pPr>
    </w:p>
    <w:p w:rsidR="00B040E7" w:rsidRDefault="00B040E7" w:rsidP="00041DF6">
      <w:pPr>
        <w:rPr>
          <w:szCs w:val="24"/>
        </w:rPr>
      </w:pPr>
    </w:p>
    <w:p w:rsidR="00B040E7" w:rsidRDefault="00B040E7" w:rsidP="00041DF6">
      <w:pPr>
        <w:rPr>
          <w:szCs w:val="24"/>
        </w:rPr>
      </w:pPr>
    </w:p>
    <w:p w:rsidR="00B040E7" w:rsidRDefault="00B040E7" w:rsidP="00041DF6">
      <w:pPr>
        <w:rPr>
          <w:szCs w:val="24"/>
        </w:rPr>
      </w:pPr>
    </w:p>
    <w:p w:rsidR="00B040E7" w:rsidRDefault="00B040E7" w:rsidP="00041DF6">
      <w:pPr>
        <w:rPr>
          <w:szCs w:val="24"/>
        </w:rPr>
      </w:pPr>
    </w:p>
    <w:p w:rsidR="00B040E7" w:rsidRDefault="00B040E7" w:rsidP="00041DF6">
      <w:pPr>
        <w:rPr>
          <w:szCs w:val="24"/>
        </w:rPr>
      </w:pPr>
    </w:p>
    <w:p w:rsidR="00B040E7" w:rsidRPr="009B0C0F" w:rsidRDefault="00B040E7" w:rsidP="00B040E7">
      <w:pPr>
        <w:pStyle w:val="Heading1-nonumber"/>
      </w:pPr>
      <w:r>
        <w:lastRenderedPageBreak/>
        <w:t>Consultation on Draft CoST RECovery Implementation Statement 2018-2019 –</w:t>
      </w:r>
      <w:r w:rsidR="007D2EF8">
        <w:t xml:space="preserve"> Questions</w:t>
      </w:r>
    </w:p>
    <w:p w:rsidR="00833021" w:rsidRPr="00212D77" w:rsidRDefault="007D2EF8" w:rsidP="00DD07A7">
      <w:pPr>
        <w:pStyle w:val="ListParagraph"/>
        <w:numPr>
          <w:ilvl w:val="0"/>
          <w:numId w:val="1"/>
        </w:numPr>
        <w:spacing w:after="0" w:line="240" w:lineRule="auto"/>
        <w:rPr>
          <w:rFonts w:eastAsia="Times New Roman" w:cs="Arial"/>
          <w:bCs/>
          <w:color w:val="000000"/>
          <w:sz w:val="24"/>
          <w:szCs w:val="24"/>
          <w:lang w:eastAsia="en-AU"/>
        </w:rPr>
      </w:pPr>
      <w:r w:rsidRPr="007D2EF8">
        <w:rPr>
          <w:rFonts w:eastAsia="Times New Roman" w:cs="Arial"/>
          <w:bCs/>
          <w:color w:val="000000"/>
          <w:sz w:val="24"/>
          <w:szCs w:val="24"/>
          <w:lang w:eastAsia="en-AU"/>
        </w:rPr>
        <w:t>What is your projected demand</w:t>
      </w:r>
      <w:r w:rsidR="008F3FB9">
        <w:rPr>
          <w:rFonts w:eastAsia="Times New Roman" w:cs="Arial"/>
          <w:bCs/>
          <w:color w:val="000000"/>
          <w:sz w:val="24"/>
          <w:szCs w:val="24"/>
          <w:lang w:eastAsia="en-AU"/>
        </w:rPr>
        <w:t>/need</w:t>
      </w:r>
      <w:r w:rsidRPr="007D2EF8">
        <w:rPr>
          <w:rFonts w:eastAsia="Times New Roman" w:cs="Arial"/>
          <w:bCs/>
          <w:color w:val="000000"/>
          <w:sz w:val="24"/>
          <w:szCs w:val="24"/>
          <w:lang w:eastAsia="en-AU"/>
        </w:rPr>
        <w:t xml:space="preserve"> for these regulatory services </w:t>
      </w:r>
      <w:r>
        <w:rPr>
          <w:rFonts w:eastAsia="Times New Roman" w:cs="Arial"/>
          <w:bCs/>
          <w:color w:val="000000"/>
          <w:sz w:val="24"/>
          <w:szCs w:val="24"/>
          <w:lang w:eastAsia="en-AU"/>
        </w:rPr>
        <w:t xml:space="preserve">(Pattern Approval, Licensing and Legal Metrology Authority Appointments) </w:t>
      </w:r>
      <w:r w:rsidRPr="007D2EF8">
        <w:rPr>
          <w:rFonts w:eastAsia="Times New Roman" w:cs="Arial"/>
          <w:bCs/>
          <w:color w:val="000000"/>
          <w:sz w:val="24"/>
          <w:szCs w:val="24"/>
          <w:lang w:eastAsia="en-AU"/>
        </w:rPr>
        <w:t>over the next 3-5 years</w:t>
      </w:r>
      <w:r w:rsidR="00833021" w:rsidRPr="00212D77">
        <w:rPr>
          <w:rFonts w:eastAsia="Times New Roman" w:cs="Arial"/>
          <w:bCs/>
          <w:color w:val="000000"/>
          <w:sz w:val="24"/>
          <w:szCs w:val="24"/>
          <w:lang w:eastAsia="en-AU"/>
        </w:rPr>
        <w:t>?</w:t>
      </w:r>
      <w:r>
        <w:rPr>
          <w:rFonts w:eastAsia="Times New Roman" w:cs="Arial"/>
          <w:bCs/>
          <w:color w:val="000000"/>
          <w:sz w:val="24"/>
          <w:szCs w:val="24"/>
          <w:lang w:eastAsia="en-AU"/>
        </w:rPr>
        <w:t xml:space="preserve"> </w:t>
      </w:r>
      <w:r w:rsidRPr="007D2EF8">
        <w:rPr>
          <w:rFonts w:eastAsia="Times New Roman" w:cs="Arial"/>
          <w:bCs/>
          <w:color w:val="000000"/>
          <w:sz w:val="24"/>
          <w:szCs w:val="24"/>
          <w:lang w:eastAsia="en-AU"/>
        </w:rPr>
        <w:t>Is there any other information which would help improve NMI’s projection of demand over this period?</w:t>
      </w:r>
    </w:p>
    <w:p w:rsidR="00051733" w:rsidRDefault="00051733" w:rsidP="00051733"/>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12D77" w:rsidRPr="00212D77" w:rsidRDefault="00212D77" w:rsidP="00041DF6">
      <w:pPr>
        <w:rPr>
          <w:szCs w:val="24"/>
        </w:rPr>
      </w:pPr>
    </w:p>
    <w:p w:rsidR="007D2EF8" w:rsidRPr="007D2EF8" w:rsidRDefault="007D2EF8" w:rsidP="007D2EF8">
      <w:pPr>
        <w:pStyle w:val="ListParagraph"/>
        <w:numPr>
          <w:ilvl w:val="0"/>
          <w:numId w:val="1"/>
        </w:numPr>
        <w:spacing w:after="0" w:line="240" w:lineRule="auto"/>
        <w:rPr>
          <w:rFonts w:eastAsia="Times New Roman" w:cs="Arial"/>
          <w:bCs/>
          <w:color w:val="000000"/>
          <w:sz w:val="24"/>
          <w:szCs w:val="24"/>
          <w:lang w:eastAsia="en-AU"/>
        </w:rPr>
      </w:pPr>
      <w:r w:rsidRPr="007D2EF8">
        <w:rPr>
          <w:rFonts w:eastAsia="Times New Roman" w:cs="Arial"/>
          <w:bCs/>
          <w:color w:val="000000"/>
          <w:sz w:val="24"/>
          <w:szCs w:val="24"/>
          <w:lang w:eastAsia="en-AU"/>
        </w:rPr>
        <w:t>Are there other significant risks associated with increased fees for these regulatory activities?</w:t>
      </w:r>
    </w:p>
    <w:p w:rsidR="00051733" w:rsidRDefault="00051733" w:rsidP="00051733"/>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12D77" w:rsidRPr="00212D77" w:rsidRDefault="00212D77" w:rsidP="00041DF6">
      <w:pPr>
        <w:rPr>
          <w:szCs w:val="24"/>
        </w:rPr>
      </w:pPr>
    </w:p>
    <w:p w:rsidR="00051733" w:rsidRDefault="007D2EF8" w:rsidP="007D2EF8">
      <w:pPr>
        <w:pStyle w:val="ListParagraph"/>
        <w:numPr>
          <w:ilvl w:val="0"/>
          <w:numId w:val="1"/>
        </w:numPr>
        <w:spacing w:after="0" w:line="240" w:lineRule="auto"/>
        <w:rPr>
          <w:rFonts w:eastAsia="Times New Roman" w:cs="Arial"/>
          <w:bCs/>
          <w:color w:val="000000"/>
          <w:sz w:val="24"/>
          <w:szCs w:val="24"/>
          <w:lang w:eastAsia="en-AU"/>
        </w:rPr>
      </w:pPr>
      <w:r w:rsidRPr="007D2EF8">
        <w:rPr>
          <w:rFonts w:eastAsia="Times New Roman" w:cs="Arial"/>
          <w:bCs/>
          <w:color w:val="000000"/>
          <w:sz w:val="24"/>
          <w:szCs w:val="24"/>
          <w:lang w:eastAsia="en-AU"/>
        </w:rPr>
        <w:t>What mitigation measures would assist NMI to manage these risks?</w:t>
      </w:r>
    </w:p>
    <w:p w:rsidR="007D2EF8" w:rsidRPr="007D2EF8" w:rsidRDefault="007D2EF8" w:rsidP="007D2EF8">
      <w:pPr>
        <w:pStyle w:val="ListParagraph"/>
        <w:spacing w:after="0" w:line="240" w:lineRule="auto"/>
        <w:ind w:left="360"/>
        <w:rPr>
          <w:rFonts w:eastAsia="Times New Roman" w:cs="Arial"/>
          <w:bCs/>
          <w:color w:val="000000"/>
          <w:sz w:val="24"/>
          <w:szCs w:val="24"/>
          <w:lang w:eastAsia="en-AU"/>
        </w:rPr>
      </w:pP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12D77" w:rsidRPr="00212D77" w:rsidRDefault="00212D77" w:rsidP="00041DF6">
      <w:pPr>
        <w:rPr>
          <w:szCs w:val="24"/>
        </w:rPr>
      </w:pPr>
    </w:p>
    <w:p w:rsidR="007D2EF8" w:rsidRPr="007D2EF8" w:rsidRDefault="007D2EF8" w:rsidP="007D2EF8">
      <w:pPr>
        <w:pStyle w:val="ListParagraph"/>
        <w:numPr>
          <w:ilvl w:val="0"/>
          <w:numId w:val="1"/>
        </w:numPr>
        <w:spacing w:after="0" w:line="240" w:lineRule="auto"/>
        <w:rPr>
          <w:rFonts w:eastAsia="Times New Roman" w:cs="Arial"/>
          <w:bCs/>
          <w:color w:val="000000"/>
          <w:sz w:val="24"/>
          <w:szCs w:val="24"/>
          <w:lang w:eastAsia="en-AU"/>
        </w:rPr>
      </w:pPr>
      <w:r w:rsidRPr="007D2EF8">
        <w:rPr>
          <w:rFonts w:eastAsia="Times New Roman" w:cs="Arial"/>
          <w:bCs/>
          <w:color w:val="000000"/>
          <w:sz w:val="24"/>
          <w:szCs w:val="24"/>
          <w:lang w:eastAsia="en-AU"/>
        </w:rPr>
        <w:t>How important is it that Australia maintain local laboratory testing capability for PA?</w:t>
      </w:r>
    </w:p>
    <w:p w:rsidR="00051733" w:rsidRDefault="00051733" w:rsidP="00051733">
      <w:pPr>
        <w:pStyle w:val="ListParagraph"/>
        <w:ind w:left="360"/>
      </w:pPr>
    </w:p>
    <w:p w:rsidR="00051733" w:rsidRDefault="00051733" w:rsidP="007D2EF8">
      <w:pPr>
        <w:pStyle w:val="ListParagraph"/>
        <w:spacing w:after="0" w:line="240" w:lineRule="auto"/>
        <w:ind w:left="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051733" w:rsidRDefault="00051733" w:rsidP="00051733">
      <w:pPr>
        <w:pStyle w:val="ListParagraph"/>
        <w:ind w:left="360"/>
      </w:pPr>
    </w:p>
    <w:p w:rsidR="007D2EF8" w:rsidRPr="007D2EF8" w:rsidRDefault="007D2EF8" w:rsidP="007D2EF8">
      <w:pPr>
        <w:pStyle w:val="ListParagraph"/>
        <w:numPr>
          <w:ilvl w:val="0"/>
          <w:numId w:val="1"/>
        </w:numPr>
        <w:spacing w:after="0" w:line="240" w:lineRule="auto"/>
        <w:rPr>
          <w:rFonts w:eastAsia="Times New Roman" w:cs="Arial"/>
          <w:bCs/>
          <w:color w:val="000000"/>
          <w:sz w:val="24"/>
          <w:szCs w:val="24"/>
          <w:lang w:eastAsia="en-AU"/>
        </w:rPr>
      </w:pPr>
      <w:r w:rsidRPr="007D2EF8">
        <w:rPr>
          <w:rFonts w:eastAsia="Times New Roman" w:cs="Arial"/>
          <w:bCs/>
          <w:color w:val="000000"/>
          <w:sz w:val="24"/>
          <w:szCs w:val="24"/>
          <w:lang w:eastAsia="en-AU"/>
        </w:rPr>
        <w:t xml:space="preserve">In the context of this international industry, is cost a significant driver when considering where laboratory testing should be undertaken? </w:t>
      </w:r>
    </w:p>
    <w:p w:rsidR="007D2EF8" w:rsidRPr="00E429FE" w:rsidRDefault="007D2EF8" w:rsidP="007D2EF8">
      <w:pPr>
        <w:pStyle w:val="ListParagraph"/>
        <w:spacing w:before="120" w:after="120"/>
        <w:ind w:left="360"/>
        <w:contextualSpacing w:val="0"/>
      </w:pP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7D2EF8" w:rsidRDefault="007D2EF8" w:rsidP="009B1B0A"/>
    <w:p w:rsidR="007D2EF8" w:rsidRPr="007D2EF8" w:rsidRDefault="007D2EF8" w:rsidP="007D2EF8">
      <w:pPr>
        <w:pStyle w:val="ListParagraph"/>
        <w:numPr>
          <w:ilvl w:val="0"/>
          <w:numId w:val="1"/>
        </w:numPr>
        <w:rPr>
          <w:rFonts w:eastAsia="Times New Roman" w:cs="Arial"/>
          <w:bCs/>
          <w:color w:val="000000"/>
          <w:sz w:val="24"/>
          <w:szCs w:val="24"/>
          <w:lang w:eastAsia="en-AU"/>
        </w:rPr>
      </w:pPr>
      <w:r w:rsidRPr="007D2EF8">
        <w:rPr>
          <w:rFonts w:eastAsia="Times New Roman" w:cs="Arial"/>
          <w:bCs/>
          <w:color w:val="000000"/>
          <w:sz w:val="24"/>
          <w:szCs w:val="24"/>
          <w:lang w:eastAsia="en-AU"/>
        </w:rPr>
        <w:t xml:space="preserve">Will higher PA fees act as a significant barrier to uptake of innovation in this field within Australia? </w:t>
      </w:r>
    </w:p>
    <w:p w:rsidR="00212D77"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7D2EF8" w:rsidRPr="00212D77" w:rsidRDefault="007D2EF8" w:rsidP="00041DF6">
      <w:pPr>
        <w:rPr>
          <w:szCs w:val="24"/>
        </w:rPr>
      </w:pPr>
    </w:p>
    <w:p w:rsidR="00051733" w:rsidRPr="007D2EF8" w:rsidRDefault="007D2EF8" w:rsidP="007D2EF8">
      <w:pPr>
        <w:pStyle w:val="ListParagraph"/>
        <w:numPr>
          <w:ilvl w:val="0"/>
          <w:numId w:val="1"/>
        </w:numPr>
        <w:rPr>
          <w:sz w:val="24"/>
          <w:szCs w:val="24"/>
        </w:rPr>
      </w:pPr>
      <w:r w:rsidRPr="007D2EF8">
        <w:rPr>
          <w:rFonts w:cs="Arial"/>
          <w:sz w:val="24"/>
          <w:szCs w:val="24"/>
        </w:rPr>
        <w:t>To what extent do mutual acceptance arrangements promote Australian industry participation in the production of measuring instruments used for trade?</w:t>
      </w: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2D2310" w:rsidRDefault="002D2310" w:rsidP="002D2310">
      <w:pPr>
        <w:spacing w:after="0"/>
      </w:pPr>
    </w:p>
    <w:p w:rsidR="007D2EF8" w:rsidRPr="007D2EF8" w:rsidRDefault="007D2EF8" w:rsidP="007D2EF8">
      <w:pPr>
        <w:pStyle w:val="ListParagraph"/>
        <w:numPr>
          <w:ilvl w:val="0"/>
          <w:numId w:val="1"/>
        </w:numPr>
        <w:rPr>
          <w:rFonts w:eastAsia="Times New Roman" w:cs="Arial"/>
          <w:bCs/>
          <w:color w:val="000000"/>
          <w:sz w:val="24"/>
          <w:szCs w:val="24"/>
          <w:lang w:eastAsia="en-AU"/>
        </w:rPr>
      </w:pPr>
      <w:r w:rsidRPr="007D2EF8">
        <w:rPr>
          <w:rFonts w:eastAsia="Times New Roman" w:cs="Arial"/>
          <w:bCs/>
          <w:color w:val="000000"/>
          <w:sz w:val="24"/>
          <w:szCs w:val="24"/>
          <w:lang w:eastAsia="en-AU"/>
        </w:rPr>
        <w:t>What are the potential impacts of full cost recovery on the operation of your business? Please provide details.</w:t>
      </w:r>
    </w:p>
    <w:p w:rsidR="00051733" w:rsidRDefault="00051733" w:rsidP="002D2310">
      <w:pPr>
        <w:spacing w:after="0"/>
      </w:pPr>
      <w:r>
        <w:lastRenderedPageBreak/>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7D2EF8" w:rsidRDefault="007D2EF8" w:rsidP="007D2EF8">
      <w:pPr>
        <w:spacing w:after="0"/>
      </w:pPr>
    </w:p>
    <w:p w:rsidR="007D2EF8" w:rsidRPr="007D2EF8" w:rsidRDefault="007D2EF8" w:rsidP="007D2EF8">
      <w:pPr>
        <w:pStyle w:val="ListParagraph"/>
        <w:numPr>
          <w:ilvl w:val="0"/>
          <w:numId w:val="1"/>
        </w:numPr>
        <w:rPr>
          <w:rFonts w:eastAsia="Times New Roman" w:cs="Arial"/>
          <w:bCs/>
          <w:color w:val="000000"/>
          <w:sz w:val="24"/>
          <w:szCs w:val="24"/>
          <w:lang w:eastAsia="en-AU"/>
        </w:rPr>
      </w:pPr>
      <w:r w:rsidRPr="007D2EF8">
        <w:rPr>
          <w:rFonts w:eastAsia="Times New Roman" w:cs="Arial"/>
          <w:bCs/>
          <w:color w:val="000000"/>
          <w:sz w:val="24"/>
          <w:szCs w:val="24"/>
          <w:lang w:eastAsia="en-AU"/>
        </w:rPr>
        <w:t xml:space="preserve">What do you consider are the potential impacts of full cost recovery on your clients? Please provide details. </w:t>
      </w:r>
    </w:p>
    <w:p w:rsidR="00051733" w:rsidRDefault="00051733" w:rsidP="00051733">
      <w:pPr>
        <w:pStyle w:val="ListParagraph"/>
        <w:ind w:left="360"/>
      </w:pP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7D2EF8" w:rsidRDefault="007D2EF8" w:rsidP="007D2EF8">
      <w:pPr>
        <w:spacing w:after="0"/>
      </w:pPr>
    </w:p>
    <w:p w:rsidR="007D2EF8" w:rsidRPr="007D2EF8" w:rsidRDefault="007D2EF8" w:rsidP="007D2EF8">
      <w:pPr>
        <w:pStyle w:val="ListParagraph"/>
        <w:numPr>
          <w:ilvl w:val="0"/>
          <w:numId w:val="1"/>
        </w:numPr>
        <w:rPr>
          <w:rFonts w:eastAsia="Times New Roman" w:cs="Arial"/>
          <w:bCs/>
          <w:color w:val="000000"/>
          <w:sz w:val="24"/>
          <w:szCs w:val="24"/>
          <w:lang w:eastAsia="en-AU"/>
        </w:rPr>
      </w:pPr>
      <w:r w:rsidRPr="007D2EF8">
        <w:rPr>
          <w:rFonts w:eastAsia="Times New Roman" w:cs="Arial"/>
          <w:bCs/>
          <w:color w:val="000000"/>
          <w:sz w:val="24"/>
          <w:szCs w:val="24"/>
          <w:lang w:eastAsia="en-AU"/>
        </w:rPr>
        <w:t>Would implementation of full cost recovery cause you to withdraw from the market? If so, which market(s) and why?</w:t>
      </w: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7D2EF8" w:rsidRPr="007D2EF8" w:rsidRDefault="007D2EF8" w:rsidP="007D2EF8">
      <w:pPr>
        <w:spacing w:after="0"/>
        <w:rPr>
          <w:szCs w:val="24"/>
        </w:rPr>
      </w:pPr>
    </w:p>
    <w:p w:rsidR="00051733" w:rsidRPr="007D2EF8" w:rsidRDefault="007D2EF8" w:rsidP="007D2EF8">
      <w:pPr>
        <w:pStyle w:val="ListParagraph"/>
        <w:numPr>
          <w:ilvl w:val="0"/>
          <w:numId w:val="1"/>
        </w:numPr>
        <w:rPr>
          <w:sz w:val="24"/>
          <w:szCs w:val="24"/>
        </w:rPr>
      </w:pPr>
      <w:r w:rsidRPr="007D2EF8">
        <w:rPr>
          <w:rFonts w:eastAsia="Times New Roman" w:cs="Arial"/>
          <w:bCs/>
          <w:color w:val="000000"/>
          <w:sz w:val="24"/>
          <w:szCs w:val="24"/>
          <w:lang w:eastAsia="en-AU"/>
        </w:rPr>
        <w:t>Would implementation of any of these models cause you to reduce your level of service to the market? If so, which market(s) and why? Which service(s) would you eliminate?</w:t>
      </w: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8B0814" w:rsidRDefault="008B0814" w:rsidP="008B0814">
      <w:pPr>
        <w:spacing w:after="0"/>
      </w:pPr>
    </w:p>
    <w:p w:rsidR="00051733" w:rsidRPr="008B0814" w:rsidRDefault="008B0814" w:rsidP="008B0814">
      <w:pPr>
        <w:pStyle w:val="ListParagraph"/>
        <w:numPr>
          <w:ilvl w:val="0"/>
          <w:numId w:val="1"/>
        </w:numPr>
        <w:rPr>
          <w:sz w:val="24"/>
          <w:szCs w:val="24"/>
        </w:rPr>
      </w:pPr>
      <w:r w:rsidRPr="008B0814">
        <w:rPr>
          <w:rFonts w:eastAsia="Times New Roman" w:cs="Arial"/>
          <w:bCs/>
          <w:color w:val="000000"/>
          <w:sz w:val="24"/>
          <w:szCs w:val="24"/>
          <w:lang w:eastAsia="en-AU"/>
        </w:rPr>
        <w:t>Please indicate your level of support if NMI were to introduce full cost recovery for PA laboratory based testing.</w:t>
      </w:r>
    </w:p>
    <w:p w:rsidR="00051733" w:rsidRDefault="00051733" w:rsidP="002D2310">
      <w:pPr>
        <w:spacing w:after="0"/>
      </w:pPr>
      <w:r>
        <w:fldChar w:fldCharType="begin">
          <w:ffData>
            <w:name w:val="Text1"/>
            <w:enabled/>
            <w:calcOnExit w:val="0"/>
            <w:textInput>
              <w:default w:val="Insert Text"/>
            </w:textInput>
          </w:ffData>
        </w:fldChar>
      </w:r>
      <w:r>
        <w:instrText xml:space="preserve"> FORMTEXT </w:instrText>
      </w:r>
      <w:r>
        <w:fldChar w:fldCharType="separate"/>
      </w:r>
      <w:r>
        <w:rPr>
          <w:noProof/>
        </w:rPr>
        <w:t>Insert Text</w:t>
      </w:r>
      <w:r>
        <w:fldChar w:fldCharType="end"/>
      </w:r>
    </w:p>
    <w:p w:rsidR="00051733" w:rsidRDefault="00051733" w:rsidP="009B1B0A"/>
    <w:p w:rsidR="00051733" w:rsidRDefault="00051733" w:rsidP="009B1B0A"/>
    <w:p w:rsidR="009B1B0A" w:rsidRDefault="009B1B0A">
      <w:pPr>
        <w:rPr>
          <w:rFonts w:eastAsia="Times New Roman" w:cs="Arial"/>
          <w:bCs/>
          <w:color w:val="000000"/>
          <w:szCs w:val="24"/>
          <w:lang w:eastAsia="en-AU"/>
        </w:rPr>
      </w:pPr>
    </w:p>
    <w:p w:rsidR="00DD07A7" w:rsidRPr="009B1B0A" w:rsidRDefault="00DD07A7" w:rsidP="009B1B0A"/>
    <w:sectPr w:rsidR="00DD07A7" w:rsidRPr="009B1B0A" w:rsidSect="00231552">
      <w:pgSz w:w="11906" w:h="16838"/>
      <w:pgMar w:top="1440" w:right="1440" w:bottom="1440" w:left="1440" w:header="113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AC9" w:rsidRDefault="00FA1AC9" w:rsidP="005B0A2F">
      <w:pPr>
        <w:spacing w:after="0" w:line="240" w:lineRule="auto"/>
      </w:pPr>
      <w:r>
        <w:separator/>
      </w:r>
    </w:p>
  </w:endnote>
  <w:endnote w:type="continuationSeparator" w:id="0">
    <w:p w:rsidR="00FA1AC9" w:rsidRDefault="00FA1AC9" w:rsidP="005B0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AC9" w:rsidRDefault="00FA1AC9" w:rsidP="005B0A2F">
      <w:pPr>
        <w:spacing w:after="0" w:line="240" w:lineRule="auto"/>
      </w:pPr>
      <w:r>
        <w:separator/>
      </w:r>
    </w:p>
  </w:footnote>
  <w:footnote w:type="continuationSeparator" w:id="0">
    <w:p w:rsidR="00FA1AC9" w:rsidRDefault="00FA1AC9" w:rsidP="005B0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6FB" w:rsidRDefault="006E46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2411"/>
    <w:multiLevelType w:val="hybridMultilevel"/>
    <w:tmpl w:val="742E705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5CF0682"/>
    <w:multiLevelType w:val="hybridMultilevel"/>
    <w:tmpl w:val="D10C61C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04C74BE"/>
    <w:multiLevelType w:val="hybridMultilevel"/>
    <w:tmpl w:val="FCB69F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971CB0"/>
    <w:multiLevelType w:val="hybridMultilevel"/>
    <w:tmpl w:val="93222BAC"/>
    <w:lvl w:ilvl="0" w:tplc="11403578">
      <w:start w:val="1"/>
      <w:numFmt w:val="bullet"/>
      <w:lvlText w:val="•"/>
      <w:lvlJc w:val="left"/>
      <w:pPr>
        <w:tabs>
          <w:tab w:val="num" w:pos="720"/>
        </w:tabs>
        <w:ind w:left="720" w:hanging="360"/>
      </w:pPr>
      <w:rPr>
        <w:rFonts w:ascii="Times New Roman" w:hAnsi="Times New Roman" w:cs="Times New Roman" w:hint="default"/>
      </w:rPr>
    </w:lvl>
    <w:lvl w:ilvl="1" w:tplc="9C862BBE">
      <w:start w:val="1"/>
      <w:numFmt w:val="bullet"/>
      <w:lvlText w:val="•"/>
      <w:lvlJc w:val="left"/>
      <w:pPr>
        <w:tabs>
          <w:tab w:val="num" w:pos="1440"/>
        </w:tabs>
        <w:ind w:left="1440" w:hanging="360"/>
      </w:pPr>
      <w:rPr>
        <w:rFonts w:ascii="Times New Roman" w:hAnsi="Times New Roman" w:cs="Times New Roman" w:hint="default"/>
      </w:rPr>
    </w:lvl>
    <w:lvl w:ilvl="2" w:tplc="0C090001">
      <w:start w:val="1"/>
      <w:numFmt w:val="bullet"/>
      <w:lvlText w:val=""/>
      <w:lvlJc w:val="left"/>
      <w:pPr>
        <w:tabs>
          <w:tab w:val="num" w:pos="2160"/>
        </w:tabs>
        <w:ind w:left="2160" w:hanging="360"/>
      </w:pPr>
      <w:rPr>
        <w:rFonts w:ascii="Symbol" w:hAnsi="Symbol" w:hint="default"/>
      </w:rPr>
    </w:lvl>
    <w:lvl w:ilvl="3" w:tplc="CD2A6322">
      <w:start w:val="1"/>
      <w:numFmt w:val="bullet"/>
      <w:lvlText w:val="•"/>
      <w:lvlJc w:val="left"/>
      <w:pPr>
        <w:tabs>
          <w:tab w:val="num" w:pos="2880"/>
        </w:tabs>
        <w:ind w:left="2880" w:hanging="360"/>
      </w:pPr>
      <w:rPr>
        <w:rFonts w:ascii="Times New Roman" w:hAnsi="Times New Roman" w:cs="Times New Roman" w:hint="default"/>
      </w:rPr>
    </w:lvl>
    <w:lvl w:ilvl="4" w:tplc="A7BA09DA">
      <w:start w:val="1"/>
      <w:numFmt w:val="bullet"/>
      <w:lvlText w:val="•"/>
      <w:lvlJc w:val="left"/>
      <w:pPr>
        <w:tabs>
          <w:tab w:val="num" w:pos="3600"/>
        </w:tabs>
        <w:ind w:left="3600" w:hanging="360"/>
      </w:pPr>
      <w:rPr>
        <w:rFonts w:ascii="Times New Roman" w:hAnsi="Times New Roman" w:cs="Times New Roman" w:hint="default"/>
      </w:rPr>
    </w:lvl>
    <w:lvl w:ilvl="5" w:tplc="59D0EAE4">
      <w:start w:val="1"/>
      <w:numFmt w:val="bullet"/>
      <w:lvlText w:val="•"/>
      <w:lvlJc w:val="left"/>
      <w:pPr>
        <w:tabs>
          <w:tab w:val="num" w:pos="4320"/>
        </w:tabs>
        <w:ind w:left="4320" w:hanging="360"/>
      </w:pPr>
      <w:rPr>
        <w:rFonts w:ascii="Times New Roman" w:hAnsi="Times New Roman" w:cs="Times New Roman" w:hint="default"/>
      </w:rPr>
    </w:lvl>
    <w:lvl w:ilvl="6" w:tplc="ADB6A3FE">
      <w:start w:val="1"/>
      <w:numFmt w:val="bullet"/>
      <w:lvlText w:val="•"/>
      <w:lvlJc w:val="left"/>
      <w:pPr>
        <w:tabs>
          <w:tab w:val="num" w:pos="5040"/>
        </w:tabs>
        <w:ind w:left="5040" w:hanging="360"/>
      </w:pPr>
      <w:rPr>
        <w:rFonts w:ascii="Times New Roman" w:hAnsi="Times New Roman" w:cs="Times New Roman" w:hint="default"/>
      </w:rPr>
    </w:lvl>
    <w:lvl w:ilvl="7" w:tplc="D2D269EC">
      <w:start w:val="1"/>
      <w:numFmt w:val="bullet"/>
      <w:lvlText w:val="•"/>
      <w:lvlJc w:val="left"/>
      <w:pPr>
        <w:tabs>
          <w:tab w:val="num" w:pos="5760"/>
        </w:tabs>
        <w:ind w:left="5760" w:hanging="360"/>
      </w:pPr>
      <w:rPr>
        <w:rFonts w:ascii="Times New Roman" w:hAnsi="Times New Roman" w:cs="Times New Roman" w:hint="default"/>
      </w:rPr>
    </w:lvl>
    <w:lvl w:ilvl="8" w:tplc="DD20B4C8">
      <w:start w:val="1"/>
      <w:numFmt w:val="bullet"/>
      <w:lvlText w:val="•"/>
      <w:lvlJc w:val="left"/>
      <w:pPr>
        <w:tabs>
          <w:tab w:val="num" w:pos="6480"/>
        </w:tabs>
        <w:ind w:left="6480" w:hanging="360"/>
      </w:pPr>
      <w:rPr>
        <w:rFonts w:ascii="Times New Roman" w:hAnsi="Times New Roman" w:cs="Times New Roman" w:hint="default"/>
      </w:rPr>
    </w:lvl>
  </w:abstractNum>
  <w:abstractNum w:abstractNumId="4" w15:restartNumberingAfterBreak="0">
    <w:nsid w:val="360C1622"/>
    <w:multiLevelType w:val="hybridMultilevel"/>
    <w:tmpl w:val="3B42D0E8"/>
    <w:lvl w:ilvl="0" w:tplc="80E411C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B707A30"/>
    <w:multiLevelType w:val="hybridMultilevel"/>
    <w:tmpl w:val="8C82C6A2"/>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A6F52FF"/>
    <w:multiLevelType w:val="hybridMultilevel"/>
    <w:tmpl w:val="8A9E4F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BE23D4"/>
    <w:multiLevelType w:val="hybridMultilevel"/>
    <w:tmpl w:val="7D1C163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00F69B6"/>
    <w:multiLevelType w:val="hybridMultilevel"/>
    <w:tmpl w:val="5680D18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6"/>
  </w:num>
  <w:num w:numId="5">
    <w:abstractNumId w:val="2"/>
  </w:num>
  <w:num w:numId="6">
    <w:abstractNumId w:val="5"/>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A69"/>
    <w:rsid w:val="00041DF6"/>
    <w:rsid w:val="00051733"/>
    <w:rsid w:val="000F74C2"/>
    <w:rsid w:val="00106EF0"/>
    <w:rsid w:val="00157DF2"/>
    <w:rsid w:val="00212D77"/>
    <w:rsid w:val="00231552"/>
    <w:rsid w:val="00272A69"/>
    <w:rsid w:val="002D2310"/>
    <w:rsid w:val="003B35EB"/>
    <w:rsid w:val="003C3DCA"/>
    <w:rsid w:val="003D23C9"/>
    <w:rsid w:val="003E00E8"/>
    <w:rsid w:val="003F54CF"/>
    <w:rsid w:val="004F4A69"/>
    <w:rsid w:val="00526954"/>
    <w:rsid w:val="005938D0"/>
    <w:rsid w:val="005B0A2F"/>
    <w:rsid w:val="00664AE1"/>
    <w:rsid w:val="00676EC5"/>
    <w:rsid w:val="006C20EB"/>
    <w:rsid w:val="006C3A0D"/>
    <w:rsid w:val="006E46FB"/>
    <w:rsid w:val="007750A9"/>
    <w:rsid w:val="007D2EF8"/>
    <w:rsid w:val="0081673B"/>
    <w:rsid w:val="0082250F"/>
    <w:rsid w:val="00833021"/>
    <w:rsid w:val="00843F3A"/>
    <w:rsid w:val="008B0814"/>
    <w:rsid w:val="008F3FB9"/>
    <w:rsid w:val="00927374"/>
    <w:rsid w:val="00935637"/>
    <w:rsid w:val="009B0C0F"/>
    <w:rsid w:val="009B1B0A"/>
    <w:rsid w:val="009E20B5"/>
    <w:rsid w:val="00A75F4A"/>
    <w:rsid w:val="00A920C3"/>
    <w:rsid w:val="00B040E7"/>
    <w:rsid w:val="00B94204"/>
    <w:rsid w:val="00BB0526"/>
    <w:rsid w:val="00BE0EFA"/>
    <w:rsid w:val="00CE0FCE"/>
    <w:rsid w:val="00D53886"/>
    <w:rsid w:val="00DD07A7"/>
    <w:rsid w:val="00FA1AC9"/>
    <w:rsid w:val="00FA5CD5"/>
    <w:rsid w:val="00FC3C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B79392-95A8-4D51-8361-4AA47EDD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A2F"/>
    <w:rPr>
      <w:sz w:val="24"/>
    </w:rPr>
  </w:style>
  <w:style w:type="paragraph" w:styleId="Heading1">
    <w:name w:val="heading 1"/>
    <w:basedOn w:val="Normal"/>
    <w:next w:val="Normal"/>
    <w:link w:val="Heading1Char"/>
    <w:uiPriority w:val="9"/>
    <w:qFormat/>
    <w:rsid w:val="007750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3021"/>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2A69"/>
    <w:rPr>
      <w:color w:val="808080"/>
    </w:rPr>
  </w:style>
  <w:style w:type="paragraph" w:styleId="BalloonText">
    <w:name w:val="Balloon Text"/>
    <w:basedOn w:val="Normal"/>
    <w:link w:val="BalloonTextChar"/>
    <w:uiPriority w:val="99"/>
    <w:semiHidden/>
    <w:unhideWhenUsed/>
    <w:rsid w:val="00272A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A69"/>
    <w:rPr>
      <w:rFonts w:ascii="Tahoma" w:hAnsi="Tahoma" w:cs="Tahoma"/>
      <w:sz w:val="16"/>
      <w:szCs w:val="16"/>
    </w:rPr>
  </w:style>
  <w:style w:type="character" w:customStyle="1" w:styleId="Heading2Char">
    <w:name w:val="Heading 2 Char"/>
    <w:basedOn w:val="DefaultParagraphFont"/>
    <w:link w:val="Heading2"/>
    <w:uiPriority w:val="9"/>
    <w:rsid w:val="00833021"/>
    <w:rPr>
      <w:rFonts w:asciiTheme="majorHAnsi" w:eastAsiaTheme="majorEastAsia" w:hAnsiTheme="majorHAnsi" w:cstheme="majorBidi"/>
      <w:b/>
      <w:bCs/>
      <w:color w:val="4F81BD" w:themeColor="accent1"/>
      <w:szCs w:val="26"/>
    </w:rPr>
  </w:style>
  <w:style w:type="paragraph" w:styleId="ListParagraph">
    <w:name w:val="List Paragraph"/>
    <w:basedOn w:val="Normal"/>
    <w:uiPriority w:val="34"/>
    <w:qFormat/>
    <w:rsid w:val="005B0A2F"/>
    <w:pPr>
      <w:ind w:left="720"/>
      <w:contextualSpacing/>
    </w:pPr>
    <w:rPr>
      <w:sz w:val="22"/>
    </w:rPr>
  </w:style>
  <w:style w:type="character" w:styleId="Hyperlink">
    <w:name w:val="Hyperlink"/>
    <w:basedOn w:val="DefaultParagraphFont"/>
    <w:uiPriority w:val="99"/>
    <w:unhideWhenUsed/>
    <w:rsid w:val="007750A9"/>
    <w:rPr>
      <w:color w:val="0000FF" w:themeColor="hyperlink"/>
      <w:u w:val="single"/>
    </w:rPr>
  </w:style>
  <w:style w:type="paragraph" w:customStyle="1" w:styleId="Heading1-nonumber">
    <w:name w:val="Heading1-nonumber"/>
    <w:basedOn w:val="Heading1"/>
    <w:qFormat/>
    <w:rsid w:val="007750A9"/>
    <w:pPr>
      <w:tabs>
        <w:tab w:val="left" w:pos="720"/>
      </w:tabs>
      <w:spacing w:before="240" w:after="120"/>
    </w:pPr>
    <w:rPr>
      <w:rFonts w:ascii="Arial Bold" w:hAnsi="Arial Bold"/>
      <w:caps/>
      <w:color w:val="auto"/>
      <w:sz w:val="24"/>
    </w:rPr>
  </w:style>
  <w:style w:type="paragraph" w:customStyle="1" w:styleId="Heading2-non-umber">
    <w:name w:val="Heading 2-non-umber"/>
    <w:basedOn w:val="Heading2"/>
    <w:qFormat/>
    <w:rsid w:val="007750A9"/>
    <w:pPr>
      <w:tabs>
        <w:tab w:val="left" w:pos="720"/>
      </w:tabs>
      <w:spacing w:before="240" w:after="120"/>
    </w:pPr>
    <w:rPr>
      <w:rFonts w:ascii="Arial" w:hAnsi="Arial"/>
      <w:color w:val="auto"/>
      <w:lang w:val="en-GB"/>
    </w:rPr>
  </w:style>
  <w:style w:type="character" w:customStyle="1" w:styleId="Heading1Char">
    <w:name w:val="Heading 1 Char"/>
    <w:basedOn w:val="DefaultParagraphFont"/>
    <w:link w:val="Heading1"/>
    <w:uiPriority w:val="9"/>
    <w:rsid w:val="007750A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750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7750A9"/>
    <w:rPr>
      <w:rFonts w:asciiTheme="majorHAnsi" w:eastAsiaTheme="majorEastAsia" w:hAnsiTheme="majorHAnsi" w:cstheme="majorBidi"/>
      <w:color w:val="17365D" w:themeColor="text2" w:themeShade="BF"/>
      <w:spacing w:val="5"/>
      <w:kern w:val="28"/>
      <w:sz w:val="44"/>
      <w:szCs w:val="52"/>
    </w:rPr>
  </w:style>
  <w:style w:type="paragraph" w:styleId="Subtitle">
    <w:name w:val="Subtitle"/>
    <w:basedOn w:val="Normal"/>
    <w:next w:val="Normal"/>
    <w:link w:val="SubtitleChar"/>
    <w:uiPriority w:val="11"/>
    <w:qFormat/>
    <w:rsid w:val="004F4A69"/>
    <w:pPr>
      <w:numPr>
        <w:ilvl w:val="1"/>
      </w:numPr>
    </w:pPr>
    <w:rPr>
      <w:rFonts w:eastAsiaTheme="majorEastAsia" w:cstheme="majorBidi"/>
      <w:iCs/>
      <w:color w:val="1F497D" w:themeColor="text2"/>
      <w:spacing w:val="15"/>
      <w:sz w:val="28"/>
      <w:szCs w:val="24"/>
    </w:rPr>
  </w:style>
  <w:style w:type="character" w:customStyle="1" w:styleId="SubtitleChar">
    <w:name w:val="Subtitle Char"/>
    <w:basedOn w:val="DefaultParagraphFont"/>
    <w:link w:val="Subtitle"/>
    <w:uiPriority w:val="11"/>
    <w:rsid w:val="004F4A69"/>
    <w:rPr>
      <w:rFonts w:eastAsiaTheme="majorEastAsia" w:cstheme="majorBidi"/>
      <w:iCs/>
      <w:color w:val="1F497D" w:themeColor="text2"/>
      <w:spacing w:val="15"/>
      <w:sz w:val="28"/>
      <w:szCs w:val="24"/>
    </w:rPr>
  </w:style>
  <w:style w:type="paragraph" w:styleId="Header">
    <w:name w:val="header"/>
    <w:basedOn w:val="Normal"/>
    <w:link w:val="HeaderChar"/>
    <w:uiPriority w:val="99"/>
    <w:unhideWhenUsed/>
    <w:rsid w:val="005B0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A2F"/>
    <w:rPr>
      <w:sz w:val="24"/>
    </w:rPr>
  </w:style>
  <w:style w:type="paragraph" w:styleId="Footer">
    <w:name w:val="footer"/>
    <w:basedOn w:val="Normal"/>
    <w:link w:val="FooterChar"/>
    <w:uiPriority w:val="99"/>
    <w:unhideWhenUsed/>
    <w:rsid w:val="005B0A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A2F"/>
    <w:rPr>
      <w:sz w:val="24"/>
    </w:rPr>
  </w:style>
  <w:style w:type="paragraph" w:styleId="NormalWeb">
    <w:name w:val="Normal (Web)"/>
    <w:basedOn w:val="Normal"/>
    <w:uiPriority w:val="99"/>
    <w:semiHidden/>
    <w:unhideWhenUsed/>
    <w:rsid w:val="003B35EB"/>
    <w:pPr>
      <w:spacing w:before="100" w:beforeAutospacing="1" w:after="100" w:afterAutospacing="1" w:line="240" w:lineRule="auto"/>
    </w:pPr>
    <w:rPr>
      <w:rFonts w:ascii="Times New Roman" w:eastAsia="Times New Roman" w:hAnsi="Times New Roman" w:cs="Times New Roman"/>
      <w:szCs w:val="24"/>
      <w:lang w:eastAsia="en-AU"/>
    </w:rPr>
  </w:style>
  <w:style w:type="paragraph" w:styleId="z-TopofForm">
    <w:name w:val="HTML Top of Form"/>
    <w:basedOn w:val="Normal"/>
    <w:next w:val="Normal"/>
    <w:link w:val="z-TopofFormChar"/>
    <w:hidden/>
    <w:uiPriority w:val="99"/>
    <w:semiHidden/>
    <w:unhideWhenUsed/>
    <w:rsid w:val="003B35EB"/>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3B35EB"/>
    <w:rPr>
      <w:rFonts w:ascii="Arial" w:eastAsia="Times New Roman" w:hAnsi="Arial" w:cs="Arial"/>
      <w:vanish/>
      <w:sz w:val="16"/>
      <w:szCs w:val="16"/>
      <w:lang w:eastAsia="en-AU"/>
    </w:rPr>
  </w:style>
  <w:style w:type="character" w:customStyle="1" w:styleId="the-question">
    <w:name w:val="the-question"/>
    <w:basedOn w:val="DefaultParagraphFont"/>
    <w:rsid w:val="003B35EB"/>
  </w:style>
  <w:style w:type="character" w:customStyle="1" w:styleId="hide">
    <w:name w:val="hide"/>
    <w:basedOn w:val="DefaultParagraphFont"/>
    <w:rsid w:val="003B35EB"/>
  </w:style>
  <w:style w:type="character" w:customStyle="1" w:styleId="fieldrequired">
    <w:name w:val="fieldrequired"/>
    <w:basedOn w:val="DefaultParagraphFont"/>
    <w:rsid w:val="003B35EB"/>
  </w:style>
  <w:style w:type="paragraph" w:styleId="z-BottomofForm">
    <w:name w:val="HTML Bottom of Form"/>
    <w:basedOn w:val="Normal"/>
    <w:next w:val="Normal"/>
    <w:link w:val="z-BottomofFormChar"/>
    <w:hidden/>
    <w:uiPriority w:val="99"/>
    <w:semiHidden/>
    <w:unhideWhenUsed/>
    <w:rsid w:val="003B35EB"/>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3B35EB"/>
    <w:rPr>
      <w:rFonts w:ascii="Arial" w:eastAsia="Times New Roman" w:hAnsi="Arial" w:cs="Arial"/>
      <w:vanish/>
      <w:sz w:val="16"/>
      <w:szCs w:val="16"/>
      <w:lang w:eastAsia="en-AU"/>
    </w:rPr>
  </w:style>
  <w:style w:type="table" w:styleId="TableGrid">
    <w:name w:val="Table Grid"/>
    <w:basedOn w:val="TableNormal"/>
    <w:uiPriority w:val="59"/>
    <w:rsid w:val="00B040E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040E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040E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040E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F3FB9"/>
    <w:rPr>
      <w:sz w:val="16"/>
      <w:szCs w:val="16"/>
    </w:rPr>
  </w:style>
  <w:style w:type="paragraph" w:styleId="CommentText">
    <w:name w:val="annotation text"/>
    <w:basedOn w:val="Normal"/>
    <w:link w:val="CommentTextChar"/>
    <w:uiPriority w:val="99"/>
    <w:semiHidden/>
    <w:unhideWhenUsed/>
    <w:rsid w:val="008F3FB9"/>
    <w:pPr>
      <w:spacing w:line="240" w:lineRule="auto"/>
    </w:pPr>
    <w:rPr>
      <w:sz w:val="20"/>
      <w:szCs w:val="20"/>
    </w:rPr>
  </w:style>
  <w:style w:type="character" w:customStyle="1" w:styleId="CommentTextChar">
    <w:name w:val="Comment Text Char"/>
    <w:basedOn w:val="DefaultParagraphFont"/>
    <w:link w:val="CommentText"/>
    <w:uiPriority w:val="99"/>
    <w:semiHidden/>
    <w:rsid w:val="008F3FB9"/>
    <w:rPr>
      <w:sz w:val="20"/>
      <w:szCs w:val="20"/>
    </w:rPr>
  </w:style>
  <w:style w:type="paragraph" w:styleId="CommentSubject">
    <w:name w:val="annotation subject"/>
    <w:basedOn w:val="CommentText"/>
    <w:next w:val="CommentText"/>
    <w:link w:val="CommentSubjectChar"/>
    <w:uiPriority w:val="99"/>
    <w:semiHidden/>
    <w:unhideWhenUsed/>
    <w:rsid w:val="008F3FB9"/>
    <w:rPr>
      <w:b/>
      <w:bCs/>
    </w:rPr>
  </w:style>
  <w:style w:type="character" w:customStyle="1" w:styleId="CommentSubjectChar">
    <w:name w:val="Comment Subject Char"/>
    <w:basedOn w:val="CommentTextChar"/>
    <w:link w:val="CommentSubject"/>
    <w:uiPriority w:val="99"/>
    <w:semiHidden/>
    <w:rsid w:val="008F3F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70313">
      <w:bodyDiv w:val="1"/>
      <w:marLeft w:val="0"/>
      <w:marRight w:val="0"/>
      <w:marTop w:val="0"/>
      <w:marBottom w:val="0"/>
      <w:divBdr>
        <w:top w:val="none" w:sz="0" w:space="0" w:color="auto"/>
        <w:left w:val="none" w:sz="0" w:space="0" w:color="auto"/>
        <w:bottom w:val="none" w:sz="0" w:space="0" w:color="auto"/>
        <w:right w:val="none" w:sz="0" w:space="0" w:color="auto"/>
      </w:divBdr>
    </w:div>
    <w:div w:id="79134295">
      <w:bodyDiv w:val="1"/>
      <w:marLeft w:val="0"/>
      <w:marRight w:val="0"/>
      <w:marTop w:val="0"/>
      <w:marBottom w:val="0"/>
      <w:divBdr>
        <w:top w:val="none" w:sz="0" w:space="0" w:color="auto"/>
        <w:left w:val="none" w:sz="0" w:space="0" w:color="auto"/>
        <w:bottom w:val="none" w:sz="0" w:space="0" w:color="auto"/>
        <w:right w:val="none" w:sz="0" w:space="0" w:color="auto"/>
      </w:divBdr>
      <w:divsChild>
        <w:div w:id="665398465">
          <w:marLeft w:val="0"/>
          <w:marRight w:val="0"/>
          <w:marTop w:val="0"/>
          <w:marBottom w:val="0"/>
          <w:divBdr>
            <w:top w:val="none" w:sz="0" w:space="0" w:color="auto"/>
            <w:left w:val="none" w:sz="0" w:space="0" w:color="auto"/>
            <w:bottom w:val="none" w:sz="0" w:space="0" w:color="auto"/>
            <w:right w:val="none" w:sz="0" w:space="0" w:color="auto"/>
          </w:divBdr>
          <w:divsChild>
            <w:div w:id="601377338">
              <w:marLeft w:val="0"/>
              <w:marRight w:val="0"/>
              <w:marTop w:val="0"/>
              <w:marBottom w:val="0"/>
              <w:divBdr>
                <w:top w:val="none" w:sz="0" w:space="0" w:color="auto"/>
                <w:left w:val="none" w:sz="0" w:space="0" w:color="auto"/>
                <w:bottom w:val="none" w:sz="0" w:space="0" w:color="auto"/>
                <w:right w:val="none" w:sz="0" w:space="0" w:color="auto"/>
              </w:divBdr>
              <w:divsChild>
                <w:div w:id="438526643">
                  <w:marLeft w:val="0"/>
                  <w:marRight w:val="0"/>
                  <w:marTop w:val="0"/>
                  <w:marBottom w:val="0"/>
                  <w:divBdr>
                    <w:top w:val="none" w:sz="0" w:space="0" w:color="auto"/>
                    <w:left w:val="none" w:sz="0" w:space="0" w:color="auto"/>
                    <w:bottom w:val="none" w:sz="0" w:space="0" w:color="auto"/>
                    <w:right w:val="none" w:sz="0" w:space="0" w:color="auto"/>
                  </w:divBdr>
                  <w:divsChild>
                    <w:div w:id="1282296337">
                      <w:marLeft w:val="0"/>
                      <w:marRight w:val="0"/>
                      <w:marTop w:val="0"/>
                      <w:marBottom w:val="0"/>
                      <w:divBdr>
                        <w:top w:val="none" w:sz="0" w:space="0" w:color="auto"/>
                        <w:left w:val="none" w:sz="0" w:space="0" w:color="auto"/>
                        <w:bottom w:val="none" w:sz="0" w:space="0" w:color="auto"/>
                        <w:right w:val="none" w:sz="0" w:space="0" w:color="auto"/>
                      </w:divBdr>
                    </w:div>
                    <w:div w:id="1492065577">
                      <w:marLeft w:val="0"/>
                      <w:marRight w:val="0"/>
                      <w:marTop w:val="0"/>
                      <w:marBottom w:val="0"/>
                      <w:divBdr>
                        <w:top w:val="none" w:sz="0" w:space="0" w:color="auto"/>
                        <w:left w:val="none" w:sz="0" w:space="0" w:color="auto"/>
                        <w:bottom w:val="none" w:sz="0" w:space="0" w:color="auto"/>
                        <w:right w:val="none" w:sz="0" w:space="0" w:color="auto"/>
                      </w:divBdr>
                      <w:divsChild>
                        <w:div w:id="34887818">
                          <w:marLeft w:val="0"/>
                          <w:marRight w:val="0"/>
                          <w:marTop w:val="0"/>
                          <w:marBottom w:val="0"/>
                          <w:divBdr>
                            <w:top w:val="none" w:sz="0" w:space="0" w:color="auto"/>
                            <w:left w:val="none" w:sz="0" w:space="0" w:color="auto"/>
                            <w:bottom w:val="none" w:sz="0" w:space="0" w:color="auto"/>
                            <w:right w:val="none" w:sz="0" w:space="0" w:color="auto"/>
                          </w:divBdr>
                        </w:div>
                      </w:divsChild>
                    </w:div>
                    <w:div w:id="8691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71115">
      <w:bodyDiv w:val="1"/>
      <w:marLeft w:val="0"/>
      <w:marRight w:val="0"/>
      <w:marTop w:val="0"/>
      <w:marBottom w:val="0"/>
      <w:divBdr>
        <w:top w:val="none" w:sz="0" w:space="0" w:color="auto"/>
        <w:left w:val="none" w:sz="0" w:space="0" w:color="auto"/>
        <w:bottom w:val="none" w:sz="0" w:space="0" w:color="auto"/>
        <w:right w:val="none" w:sz="0" w:space="0" w:color="auto"/>
      </w:divBdr>
    </w:div>
    <w:div w:id="266616608">
      <w:bodyDiv w:val="1"/>
      <w:marLeft w:val="0"/>
      <w:marRight w:val="0"/>
      <w:marTop w:val="0"/>
      <w:marBottom w:val="0"/>
      <w:divBdr>
        <w:top w:val="none" w:sz="0" w:space="0" w:color="auto"/>
        <w:left w:val="none" w:sz="0" w:space="0" w:color="auto"/>
        <w:bottom w:val="none" w:sz="0" w:space="0" w:color="auto"/>
        <w:right w:val="none" w:sz="0" w:space="0" w:color="auto"/>
      </w:divBdr>
    </w:div>
    <w:div w:id="376591326">
      <w:bodyDiv w:val="1"/>
      <w:marLeft w:val="0"/>
      <w:marRight w:val="0"/>
      <w:marTop w:val="0"/>
      <w:marBottom w:val="0"/>
      <w:divBdr>
        <w:top w:val="none" w:sz="0" w:space="0" w:color="auto"/>
        <w:left w:val="none" w:sz="0" w:space="0" w:color="auto"/>
        <w:bottom w:val="none" w:sz="0" w:space="0" w:color="auto"/>
        <w:right w:val="none" w:sz="0" w:space="0" w:color="auto"/>
      </w:divBdr>
    </w:div>
    <w:div w:id="458454712">
      <w:bodyDiv w:val="1"/>
      <w:marLeft w:val="0"/>
      <w:marRight w:val="0"/>
      <w:marTop w:val="0"/>
      <w:marBottom w:val="0"/>
      <w:divBdr>
        <w:top w:val="none" w:sz="0" w:space="0" w:color="auto"/>
        <w:left w:val="none" w:sz="0" w:space="0" w:color="auto"/>
        <w:bottom w:val="none" w:sz="0" w:space="0" w:color="auto"/>
        <w:right w:val="none" w:sz="0" w:space="0" w:color="auto"/>
      </w:divBdr>
    </w:div>
    <w:div w:id="519776931">
      <w:bodyDiv w:val="1"/>
      <w:marLeft w:val="0"/>
      <w:marRight w:val="0"/>
      <w:marTop w:val="0"/>
      <w:marBottom w:val="0"/>
      <w:divBdr>
        <w:top w:val="none" w:sz="0" w:space="0" w:color="auto"/>
        <w:left w:val="none" w:sz="0" w:space="0" w:color="auto"/>
        <w:bottom w:val="none" w:sz="0" w:space="0" w:color="auto"/>
        <w:right w:val="none" w:sz="0" w:space="0" w:color="auto"/>
      </w:divBdr>
    </w:div>
    <w:div w:id="553005585">
      <w:bodyDiv w:val="1"/>
      <w:marLeft w:val="0"/>
      <w:marRight w:val="0"/>
      <w:marTop w:val="0"/>
      <w:marBottom w:val="0"/>
      <w:divBdr>
        <w:top w:val="none" w:sz="0" w:space="0" w:color="auto"/>
        <w:left w:val="none" w:sz="0" w:space="0" w:color="auto"/>
        <w:bottom w:val="none" w:sz="0" w:space="0" w:color="auto"/>
        <w:right w:val="none" w:sz="0" w:space="0" w:color="auto"/>
      </w:divBdr>
    </w:div>
    <w:div w:id="578099330">
      <w:bodyDiv w:val="1"/>
      <w:marLeft w:val="0"/>
      <w:marRight w:val="0"/>
      <w:marTop w:val="0"/>
      <w:marBottom w:val="0"/>
      <w:divBdr>
        <w:top w:val="none" w:sz="0" w:space="0" w:color="auto"/>
        <w:left w:val="none" w:sz="0" w:space="0" w:color="auto"/>
        <w:bottom w:val="none" w:sz="0" w:space="0" w:color="auto"/>
        <w:right w:val="none" w:sz="0" w:space="0" w:color="auto"/>
      </w:divBdr>
    </w:div>
    <w:div w:id="580137149">
      <w:bodyDiv w:val="1"/>
      <w:marLeft w:val="0"/>
      <w:marRight w:val="0"/>
      <w:marTop w:val="0"/>
      <w:marBottom w:val="0"/>
      <w:divBdr>
        <w:top w:val="none" w:sz="0" w:space="0" w:color="auto"/>
        <w:left w:val="none" w:sz="0" w:space="0" w:color="auto"/>
        <w:bottom w:val="none" w:sz="0" w:space="0" w:color="auto"/>
        <w:right w:val="none" w:sz="0" w:space="0" w:color="auto"/>
      </w:divBdr>
    </w:div>
    <w:div w:id="586185480">
      <w:bodyDiv w:val="1"/>
      <w:marLeft w:val="0"/>
      <w:marRight w:val="0"/>
      <w:marTop w:val="0"/>
      <w:marBottom w:val="0"/>
      <w:divBdr>
        <w:top w:val="none" w:sz="0" w:space="0" w:color="auto"/>
        <w:left w:val="none" w:sz="0" w:space="0" w:color="auto"/>
        <w:bottom w:val="none" w:sz="0" w:space="0" w:color="auto"/>
        <w:right w:val="none" w:sz="0" w:space="0" w:color="auto"/>
      </w:divBdr>
    </w:div>
    <w:div w:id="625745383">
      <w:bodyDiv w:val="1"/>
      <w:marLeft w:val="0"/>
      <w:marRight w:val="0"/>
      <w:marTop w:val="0"/>
      <w:marBottom w:val="0"/>
      <w:divBdr>
        <w:top w:val="none" w:sz="0" w:space="0" w:color="auto"/>
        <w:left w:val="none" w:sz="0" w:space="0" w:color="auto"/>
        <w:bottom w:val="none" w:sz="0" w:space="0" w:color="auto"/>
        <w:right w:val="none" w:sz="0" w:space="0" w:color="auto"/>
      </w:divBdr>
    </w:div>
    <w:div w:id="948781751">
      <w:bodyDiv w:val="1"/>
      <w:marLeft w:val="0"/>
      <w:marRight w:val="0"/>
      <w:marTop w:val="0"/>
      <w:marBottom w:val="0"/>
      <w:divBdr>
        <w:top w:val="none" w:sz="0" w:space="0" w:color="auto"/>
        <w:left w:val="none" w:sz="0" w:space="0" w:color="auto"/>
        <w:bottom w:val="none" w:sz="0" w:space="0" w:color="auto"/>
        <w:right w:val="none" w:sz="0" w:space="0" w:color="auto"/>
      </w:divBdr>
    </w:div>
    <w:div w:id="993533631">
      <w:bodyDiv w:val="1"/>
      <w:marLeft w:val="0"/>
      <w:marRight w:val="0"/>
      <w:marTop w:val="0"/>
      <w:marBottom w:val="0"/>
      <w:divBdr>
        <w:top w:val="none" w:sz="0" w:space="0" w:color="auto"/>
        <w:left w:val="none" w:sz="0" w:space="0" w:color="auto"/>
        <w:bottom w:val="none" w:sz="0" w:space="0" w:color="auto"/>
        <w:right w:val="none" w:sz="0" w:space="0" w:color="auto"/>
      </w:divBdr>
    </w:div>
    <w:div w:id="1053386790">
      <w:bodyDiv w:val="1"/>
      <w:marLeft w:val="0"/>
      <w:marRight w:val="0"/>
      <w:marTop w:val="0"/>
      <w:marBottom w:val="0"/>
      <w:divBdr>
        <w:top w:val="none" w:sz="0" w:space="0" w:color="auto"/>
        <w:left w:val="none" w:sz="0" w:space="0" w:color="auto"/>
        <w:bottom w:val="none" w:sz="0" w:space="0" w:color="auto"/>
        <w:right w:val="none" w:sz="0" w:space="0" w:color="auto"/>
      </w:divBdr>
    </w:div>
    <w:div w:id="1186792673">
      <w:bodyDiv w:val="1"/>
      <w:marLeft w:val="0"/>
      <w:marRight w:val="0"/>
      <w:marTop w:val="0"/>
      <w:marBottom w:val="0"/>
      <w:divBdr>
        <w:top w:val="none" w:sz="0" w:space="0" w:color="auto"/>
        <w:left w:val="none" w:sz="0" w:space="0" w:color="auto"/>
        <w:bottom w:val="none" w:sz="0" w:space="0" w:color="auto"/>
        <w:right w:val="none" w:sz="0" w:space="0" w:color="auto"/>
      </w:divBdr>
    </w:div>
    <w:div w:id="1187330675">
      <w:bodyDiv w:val="1"/>
      <w:marLeft w:val="0"/>
      <w:marRight w:val="0"/>
      <w:marTop w:val="0"/>
      <w:marBottom w:val="0"/>
      <w:divBdr>
        <w:top w:val="none" w:sz="0" w:space="0" w:color="auto"/>
        <w:left w:val="none" w:sz="0" w:space="0" w:color="auto"/>
        <w:bottom w:val="none" w:sz="0" w:space="0" w:color="auto"/>
        <w:right w:val="none" w:sz="0" w:space="0" w:color="auto"/>
      </w:divBdr>
    </w:div>
    <w:div w:id="1196651323">
      <w:bodyDiv w:val="1"/>
      <w:marLeft w:val="0"/>
      <w:marRight w:val="0"/>
      <w:marTop w:val="0"/>
      <w:marBottom w:val="0"/>
      <w:divBdr>
        <w:top w:val="none" w:sz="0" w:space="0" w:color="auto"/>
        <w:left w:val="none" w:sz="0" w:space="0" w:color="auto"/>
        <w:bottom w:val="none" w:sz="0" w:space="0" w:color="auto"/>
        <w:right w:val="none" w:sz="0" w:space="0" w:color="auto"/>
      </w:divBdr>
    </w:div>
    <w:div w:id="1260025010">
      <w:bodyDiv w:val="1"/>
      <w:marLeft w:val="0"/>
      <w:marRight w:val="0"/>
      <w:marTop w:val="0"/>
      <w:marBottom w:val="0"/>
      <w:divBdr>
        <w:top w:val="none" w:sz="0" w:space="0" w:color="auto"/>
        <w:left w:val="none" w:sz="0" w:space="0" w:color="auto"/>
        <w:bottom w:val="none" w:sz="0" w:space="0" w:color="auto"/>
        <w:right w:val="none" w:sz="0" w:space="0" w:color="auto"/>
      </w:divBdr>
    </w:div>
    <w:div w:id="1318806216">
      <w:bodyDiv w:val="1"/>
      <w:marLeft w:val="0"/>
      <w:marRight w:val="0"/>
      <w:marTop w:val="0"/>
      <w:marBottom w:val="0"/>
      <w:divBdr>
        <w:top w:val="none" w:sz="0" w:space="0" w:color="auto"/>
        <w:left w:val="none" w:sz="0" w:space="0" w:color="auto"/>
        <w:bottom w:val="none" w:sz="0" w:space="0" w:color="auto"/>
        <w:right w:val="none" w:sz="0" w:space="0" w:color="auto"/>
      </w:divBdr>
    </w:div>
    <w:div w:id="1405494708">
      <w:bodyDiv w:val="1"/>
      <w:marLeft w:val="0"/>
      <w:marRight w:val="0"/>
      <w:marTop w:val="0"/>
      <w:marBottom w:val="0"/>
      <w:divBdr>
        <w:top w:val="none" w:sz="0" w:space="0" w:color="auto"/>
        <w:left w:val="none" w:sz="0" w:space="0" w:color="auto"/>
        <w:bottom w:val="none" w:sz="0" w:space="0" w:color="auto"/>
        <w:right w:val="none" w:sz="0" w:space="0" w:color="auto"/>
      </w:divBdr>
    </w:div>
    <w:div w:id="1525051792">
      <w:bodyDiv w:val="1"/>
      <w:marLeft w:val="0"/>
      <w:marRight w:val="0"/>
      <w:marTop w:val="0"/>
      <w:marBottom w:val="0"/>
      <w:divBdr>
        <w:top w:val="none" w:sz="0" w:space="0" w:color="auto"/>
        <w:left w:val="none" w:sz="0" w:space="0" w:color="auto"/>
        <w:bottom w:val="none" w:sz="0" w:space="0" w:color="auto"/>
        <w:right w:val="none" w:sz="0" w:space="0" w:color="auto"/>
      </w:divBdr>
    </w:div>
    <w:div w:id="1706639467">
      <w:bodyDiv w:val="1"/>
      <w:marLeft w:val="0"/>
      <w:marRight w:val="0"/>
      <w:marTop w:val="0"/>
      <w:marBottom w:val="0"/>
      <w:divBdr>
        <w:top w:val="none" w:sz="0" w:space="0" w:color="auto"/>
        <w:left w:val="none" w:sz="0" w:space="0" w:color="auto"/>
        <w:bottom w:val="none" w:sz="0" w:space="0" w:color="auto"/>
        <w:right w:val="none" w:sz="0" w:space="0" w:color="auto"/>
      </w:divBdr>
    </w:div>
    <w:div w:id="1738505255">
      <w:bodyDiv w:val="1"/>
      <w:marLeft w:val="0"/>
      <w:marRight w:val="0"/>
      <w:marTop w:val="0"/>
      <w:marBottom w:val="0"/>
      <w:divBdr>
        <w:top w:val="none" w:sz="0" w:space="0" w:color="auto"/>
        <w:left w:val="none" w:sz="0" w:space="0" w:color="auto"/>
        <w:bottom w:val="none" w:sz="0" w:space="0" w:color="auto"/>
        <w:right w:val="none" w:sz="0" w:space="0" w:color="auto"/>
      </w:divBdr>
    </w:div>
    <w:div w:id="1779370141">
      <w:bodyDiv w:val="1"/>
      <w:marLeft w:val="0"/>
      <w:marRight w:val="0"/>
      <w:marTop w:val="0"/>
      <w:marBottom w:val="0"/>
      <w:divBdr>
        <w:top w:val="none" w:sz="0" w:space="0" w:color="auto"/>
        <w:left w:val="none" w:sz="0" w:space="0" w:color="auto"/>
        <w:bottom w:val="none" w:sz="0" w:space="0" w:color="auto"/>
        <w:right w:val="none" w:sz="0" w:space="0" w:color="auto"/>
      </w:divBdr>
    </w:div>
    <w:div w:id="1809206453">
      <w:bodyDiv w:val="1"/>
      <w:marLeft w:val="0"/>
      <w:marRight w:val="0"/>
      <w:marTop w:val="0"/>
      <w:marBottom w:val="0"/>
      <w:divBdr>
        <w:top w:val="none" w:sz="0" w:space="0" w:color="auto"/>
        <w:left w:val="none" w:sz="0" w:space="0" w:color="auto"/>
        <w:bottom w:val="none" w:sz="0" w:space="0" w:color="auto"/>
        <w:right w:val="none" w:sz="0" w:space="0" w:color="auto"/>
      </w:divBdr>
    </w:div>
    <w:div w:id="182119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NMICostRecovery@measurement.gov.au" TargetMode="External"/><Relationship Id="rId4" Type="http://schemas.openxmlformats.org/officeDocument/2006/relationships/settings" Target="settings.xml"/><Relationship Id="rId9" Type="http://schemas.openxmlformats.org/officeDocument/2006/relationships/hyperlink" Target="http://www.industry.gov.au/Pages/PrivacyPolic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8CE9A-2449-4B2D-A810-6DF4129F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10</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11073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Collins, Thomas</dc:creator>
  <cp:lastModifiedBy>Ramakrishnan, Sowmya</cp:lastModifiedBy>
  <cp:revision>7</cp:revision>
  <dcterms:created xsi:type="dcterms:W3CDTF">2017-11-30T02:43:00Z</dcterms:created>
  <dcterms:modified xsi:type="dcterms:W3CDTF">2017-12-13T23:56:00Z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